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8" w:type="dxa"/>
        <w:tblLayout w:type="fixed"/>
        <w:tblCellMar>
          <w:left w:w="70" w:type="dxa"/>
          <w:right w:w="70" w:type="dxa"/>
        </w:tblCellMar>
        <w:tblLook w:val="0000" w:firstRow="0" w:lastRow="0" w:firstColumn="0" w:lastColumn="0" w:noHBand="0" w:noVBand="0"/>
      </w:tblPr>
      <w:tblGrid>
        <w:gridCol w:w="2338"/>
        <w:gridCol w:w="3802"/>
        <w:gridCol w:w="3286"/>
      </w:tblGrid>
      <w:tr w:rsidR="006448CC">
        <w:trPr>
          <w:cantSplit/>
          <w:trHeight w:val="826"/>
        </w:trPr>
        <w:tc>
          <w:tcPr>
            <w:tcW w:w="2338" w:type="dxa"/>
          </w:tcPr>
          <w:p w:rsidR="006448CC" w:rsidRDefault="006448CC">
            <w:pPr>
              <w:pStyle w:val="berschrift1"/>
              <w:rPr>
                <w:sz w:val="32"/>
                <w:szCs w:val="32"/>
              </w:rPr>
            </w:pPr>
            <w:r>
              <w:rPr>
                <w:sz w:val="32"/>
                <w:szCs w:val="32"/>
              </w:rPr>
              <w:t>Antrag</w:t>
            </w:r>
          </w:p>
        </w:tc>
        <w:tc>
          <w:tcPr>
            <w:tcW w:w="3802" w:type="dxa"/>
          </w:tcPr>
          <w:p w:rsidR="006448CC" w:rsidRDefault="000D2F1F">
            <w:pPr>
              <w:rPr>
                <w:rFonts w:ascii="Arial" w:hAnsi="Arial" w:cs="Arial"/>
                <w:b/>
                <w:bCs/>
                <w:sz w:val="32"/>
                <w:szCs w:val="32"/>
              </w:rPr>
            </w:pPr>
            <w:r>
              <w:rPr>
                <w:rFonts w:ascii="Arial" w:hAnsi="Arial" w:cs="Arial"/>
                <w:b/>
                <w:bCs/>
                <w:sz w:val="32"/>
                <w:szCs w:val="32"/>
              </w:rPr>
              <w:t>Leitantrag</w:t>
            </w:r>
          </w:p>
        </w:tc>
        <w:tc>
          <w:tcPr>
            <w:tcW w:w="3286" w:type="dxa"/>
            <w:vMerge w:val="restart"/>
          </w:tcPr>
          <w:p w:rsidR="006448CC" w:rsidRDefault="006448CC" w:rsidP="00A84FE8">
            <w:pPr>
              <w:pStyle w:val="Kopfzeile"/>
              <w:tabs>
                <w:tab w:val="clear" w:pos="4536"/>
                <w:tab w:val="clear" w:pos="9072"/>
              </w:tabs>
              <w:jc w:val="center"/>
              <w:rPr>
                <w:rFonts w:ascii="Arial" w:hAnsi="Arial" w:cs="Arial"/>
              </w:rPr>
            </w:pPr>
          </w:p>
        </w:tc>
      </w:tr>
      <w:tr w:rsidR="006448CC">
        <w:trPr>
          <w:cantSplit/>
          <w:trHeight w:val="827"/>
        </w:trPr>
        <w:tc>
          <w:tcPr>
            <w:tcW w:w="2338" w:type="dxa"/>
          </w:tcPr>
          <w:p w:rsidR="006448CC" w:rsidRDefault="006448CC">
            <w:pPr>
              <w:rPr>
                <w:rFonts w:ascii="Arial" w:hAnsi="Arial" w:cs="Arial"/>
                <w:b/>
                <w:bCs/>
                <w:sz w:val="26"/>
                <w:szCs w:val="26"/>
              </w:rPr>
            </w:pPr>
            <w:r>
              <w:rPr>
                <w:rFonts w:ascii="Arial" w:hAnsi="Arial" w:cs="Arial"/>
                <w:b/>
                <w:bCs/>
                <w:sz w:val="26"/>
                <w:szCs w:val="26"/>
              </w:rPr>
              <w:t>Antragsteller:</w:t>
            </w:r>
          </w:p>
        </w:tc>
        <w:tc>
          <w:tcPr>
            <w:tcW w:w="3802" w:type="dxa"/>
          </w:tcPr>
          <w:p w:rsidR="006448CC" w:rsidRDefault="000D2F1F">
            <w:pPr>
              <w:pStyle w:val="Kopfzeile"/>
              <w:tabs>
                <w:tab w:val="clear" w:pos="4536"/>
                <w:tab w:val="clear" w:pos="9072"/>
              </w:tabs>
              <w:rPr>
                <w:rFonts w:ascii="Arial" w:hAnsi="Arial" w:cs="Arial"/>
                <w:b/>
                <w:bCs/>
              </w:rPr>
            </w:pPr>
            <w:r>
              <w:rPr>
                <w:rFonts w:ascii="Arial" w:hAnsi="Arial" w:cs="Arial"/>
                <w:b/>
                <w:bCs/>
              </w:rPr>
              <w:t>Geschäftsführender Bezirksvorstand</w:t>
            </w:r>
          </w:p>
        </w:tc>
        <w:tc>
          <w:tcPr>
            <w:tcW w:w="3286" w:type="dxa"/>
            <w:vMerge/>
          </w:tcPr>
          <w:p w:rsidR="006448CC" w:rsidRDefault="006448CC">
            <w:pPr>
              <w:pStyle w:val="Kopfzeile"/>
              <w:tabs>
                <w:tab w:val="clear" w:pos="4536"/>
                <w:tab w:val="clear" w:pos="9072"/>
              </w:tabs>
              <w:rPr>
                <w:rFonts w:ascii="Arial" w:hAnsi="Arial" w:cs="Arial"/>
              </w:rPr>
            </w:pPr>
          </w:p>
        </w:tc>
      </w:tr>
      <w:tr w:rsidR="006448CC">
        <w:trPr>
          <w:cantSplit/>
          <w:trHeight w:val="827"/>
        </w:trPr>
        <w:tc>
          <w:tcPr>
            <w:tcW w:w="2338" w:type="dxa"/>
          </w:tcPr>
          <w:p w:rsidR="006448CC" w:rsidRDefault="006448CC">
            <w:pPr>
              <w:rPr>
                <w:rFonts w:ascii="Arial" w:hAnsi="Arial" w:cs="Arial"/>
                <w:b/>
                <w:bCs/>
                <w:sz w:val="26"/>
                <w:szCs w:val="26"/>
              </w:rPr>
            </w:pPr>
            <w:r>
              <w:rPr>
                <w:rFonts w:ascii="Arial" w:hAnsi="Arial" w:cs="Arial"/>
                <w:b/>
                <w:bCs/>
                <w:sz w:val="26"/>
                <w:szCs w:val="26"/>
              </w:rPr>
              <w:t>Betrifft:</w:t>
            </w:r>
          </w:p>
        </w:tc>
        <w:tc>
          <w:tcPr>
            <w:tcW w:w="3802" w:type="dxa"/>
          </w:tcPr>
          <w:p w:rsidR="00E91DFA" w:rsidRPr="00E91DFA" w:rsidRDefault="000D2F1F" w:rsidP="00E91DFA">
            <w:pPr>
              <w:rPr>
                <w:rFonts w:ascii="Arial" w:hAnsi="Arial" w:cs="Arial"/>
                <w:b/>
              </w:rPr>
            </w:pPr>
            <w:r>
              <w:rPr>
                <w:rFonts w:ascii="Arial" w:hAnsi="Arial" w:cs="Arial"/>
                <w:b/>
                <w:bCs/>
              </w:rPr>
              <w:t>Maßnahmenprogramm</w:t>
            </w:r>
            <w:r w:rsidR="00E91DFA">
              <w:rPr>
                <w:rFonts w:ascii="Arial" w:hAnsi="Arial" w:cs="Arial"/>
                <w:b/>
                <w:bCs/>
              </w:rPr>
              <w:t xml:space="preserve"> </w:t>
            </w:r>
            <w:r w:rsidR="00E91DFA" w:rsidRPr="00E91DFA">
              <w:rPr>
                <w:rFonts w:ascii="Arial" w:hAnsi="Arial" w:cs="Arial"/>
                <w:b/>
                <w:bCs/>
              </w:rPr>
              <w:t>„</w:t>
            </w:r>
            <w:r w:rsidR="00E91DFA" w:rsidRPr="00E91DFA">
              <w:rPr>
                <w:rFonts w:ascii="Arial" w:hAnsi="Arial" w:cs="Arial"/>
                <w:b/>
              </w:rPr>
              <w:t>Digitale Welt – Mensch bleiben“</w:t>
            </w:r>
          </w:p>
          <w:p w:rsidR="006448CC" w:rsidRDefault="006448CC" w:rsidP="00500229">
            <w:pPr>
              <w:rPr>
                <w:rFonts w:ascii="Arial" w:hAnsi="Arial" w:cs="Arial"/>
                <w:b/>
                <w:bCs/>
              </w:rPr>
            </w:pPr>
          </w:p>
        </w:tc>
        <w:tc>
          <w:tcPr>
            <w:tcW w:w="3286" w:type="dxa"/>
            <w:vMerge/>
          </w:tcPr>
          <w:p w:rsidR="006448CC" w:rsidRDefault="006448CC">
            <w:pPr>
              <w:pStyle w:val="Kopfzeile"/>
              <w:tabs>
                <w:tab w:val="clear" w:pos="4536"/>
                <w:tab w:val="clear" w:pos="9072"/>
              </w:tabs>
              <w:rPr>
                <w:rFonts w:ascii="Arial" w:hAnsi="Arial" w:cs="Arial"/>
                <w:b/>
                <w:bCs/>
              </w:rPr>
            </w:pPr>
          </w:p>
        </w:tc>
      </w:tr>
    </w:tbl>
    <w:p w:rsidR="006448CC" w:rsidRDefault="006448CC">
      <w:pPr>
        <w:rPr>
          <w:rFonts w:ascii="Arial" w:hAnsi="Arial" w:cs="Arial"/>
        </w:rPr>
      </w:pPr>
    </w:p>
    <w:p w:rsidR="006448CC" w:rsidRDefault="006448CC">
      <w:pPr>
        <w:rPr>
          <w:rFonts w:ascii="Arial" w:hAnsi="Arial" w:cs="Arial"/>
        </w:rPr>
      </w:pPr>
    </w:p>
    <w:tbl>
      <w:tblPr>
        <w:tblW w:w="10490" w:type="dxa"/>
        <w:tblInd w:w="-68" w:type="dxa"/>
        <w:tblLayout w:type="fixed"/>
        <w:tblCellMar>
          <w:left w:w="70" w:type="dxa"/>
          <w:right w:w="70" w:type="dxa"/>
        </w:tblCellMar>
        <w:tblLook w:val="0000" w:firstRow="0" w:lastRow="0" w:firstColumn="0" w:lastColumn="0" w:noHBand="0" w:noVBand="0"/>
      </w:tblPr>
      <w:tblGrid>
        <w:gridCol w:w="4196"/>
        <w:gridCol w:w="542"/>
        <w:gridCol w:w="4688"/>
        <w:gridCol w:w="1064"/>
      </w:tblGrid>
      <w:tr w:rsidR="006448CC" w:rsidTr="005F0109">
        <w:trPr>
          <w:gridAfter w:val="1"/>
          <w:wAfter w:w="1064" w:type="dxa"/>
          <w:cantSplit/>
          <w:trHeight w:val="508"/>
        </w:trPr>
        <w:tc>
          <w:tcPr>
            <w:tcW w:w="9426" w:type="dxa"/>
            <w:gridSpan w:val="3"/>
            <w:shd w:val="clear" w:color="auto" w:fill="E6E6E6"/>
          </w:tcPr>
          <w:p w:rsidR="006448CC" w:rsidRDefault="006448CC" w:rsidP="006963A6">
            <w:pPr>
              <w:rPr>
                <w:rFonts w:ascii="Arial" w:hAnsi="Arial" w:cs="Arial"/>
              </w:rPr>
            </w:pPr>
            <w:r>
              <w:rPr>
                <w:rFonts w:ascii="Arial" w:hAnsi="Arial" w:cs="Arial"/>
                <w:i/>
                <w:iCs/>
              </w:rPr>
              <w:t>Der 1</w:t>
            </w:r>
            <w:r w:rsidR="006963A6">
              <w:rPr>
                <w:rFonts w:ascii="Arial" w:hAnsi="Arial" w:cs="Arial"/>
                <w:i/>
                <w:iCs/>
              </w:rPr>
              <w:t>7</w:t>
            </w:r>
            <w:r>
              <w:rPr>
                <w:rFonts w:ascii="Arial" w:hAnsi="Arial" w:cs="Arial"/>
                <w:i/>
                <w:iCs/>
              </w:rPr>
              <w:t xml:space="preserve">. Ordentliche Delegiertentag der </w:t>
            </w:r>
            <w:r w:rsidRPr="00686F32">
              <w:rPr>
                <w:rFonts w:ascii="Arial" w:hAnsi="Arial" w:cs="Arial"/>
                <w:i/>
                <w:iCs/>
              </w:rPr>
              <w:t>G</w:t>
            </w:r>
            <w:r>
              <w:rPr>
                <w:rFonts w:ascii="Arial" w:hAnsi="Arial" w:cs="Arial"/>
                <w:i/>
                <w:iCs/>
              </w:rPr>
              <w:t xml:space="preserve">dP Bezirk BKA </w:t>
            </w:r>
            <w:r w:rsidRPr="00686F32">
              <w:rPr>
                <w:rFonts w:ascii="Arial" w:hAnsi="Arial" w:cs="Arial"/>
                <w:i/>
                <w:iCs/>
              </w:rPr>
              <w:t xml:space="preserve"> möge beschließen</w:t>
            </w:r>
            <w:r>
              <w:rPr>
                <w:rFonts w:ascii="Arial" w:hAnsi="Arial" w:cs="Arial"/>
                <w:i/>
                <w:iCs/>
              </w:rPr>
              <w:t>:</w:t>
            </w:r>
          </w:p>
        </w:tc>
      </w:tr>
      <w:tr w:rsidR="006448CC" w:rsidTr="005F0109">
        <w:trPr>
          <w:gridAfter w:val="1"/>
          <w:wAfter w:w="1064" w:type="dxa"/>
          <w:trHeight w:val="455"/>
        </w:trPr>
        <w:tc>
          <w:tcPr>
            <w:tcW w:w="4196" w:type="dxa"/>
          </w:tcPr>
          <w:p w:rsidR="006448CC" w:rsidRPr="00686F32" w:rsidRDefault="006448CC">
            <w:pPr>
              <w:rPr>
                <w:rFonts w:ascii="Arial" w:hAnsi="Arial" w:cs="Arial"/>
                <w:i/>
                <w:iCs/>
              </w:rPr>
            </w:pPr>
          </w:p>
        </w:tc>
        <w:tc>
          <w:tcPr>
            <w:tcW w:w="542" w:type="dxa"/>
          </w:tcPr>
          <w:p w:rsidR="006448CC" w:rsidRDefault="006448CC">
            <w:pPr>
              <w:rPr>
                <w:rFonts w:ascii="Arial" w:hAnsi="Arial" w:cs="Arial"/>
              </w:rPr>
            </w:pPr>
          </w:p>
        </w:tc>
        <w:tc>
          <w:tcPr>
            <w:tcW w:w="4688" w:type="dxa"/>
          </w:tcPr>
          <w:p w:rsidR="006448CC" w:rsidRDefault="006448CC">
            <w:pPr>
              <w:rPr>
                <w:rFonts w:ascii="Arial" w:hAnsi="Arial" w:cs="Arial"/>
              </w:rPr>
            </w:pPr>
          </w:p>
        </w:tc>
      </w:tr>
      <w:tr w:rsidR="005F0109" w:rsidRPr="007D48D4" w:rsidTr="005F0109">
        <w:trPr>
          <w:cantSplit/>
          <w:trHeight w:hRule="exact" w:val="1837"/>
        </w:trPr>
        <w:tc>
          <w:tcPr>
            <w:tcW w:w="9426" w:type="dxa"/>
            <w:gridSpan w:val="3"/>
          </w:tcPr>
          <w:p w:rsidR="005F0109" w:rsidRPr="00E672EB" w:rsidRDefault="005F0109" w:rsidP="005F0109">
            <w:pPr>
              <w:ind w:right="-53"/>
              <w:rPr>
                <w:rFonts w:ascii="Arial" w:hAnsi="Arial" w:cs="Arial"/>
                <w:iCs/>
              </w:rPr>
            </w:pPr>
            <w:r w:rsidRPr="00E672EB">
              <w:rPr>
                <w:rFonts w:ascii="Arial" w:hAnsi="Arial" w:cs="Arial"/>
                <w:iCs/>
              </w:rPr>
              <w:t>Der Bezirksvorstand wird gebeten,</w:t>
            </w:r>
            <w:r w:rsidR="00BC7676" w:rsidRPr="00E672EB">
              <w:rPr>
                <w:rFonts w:ascii="Arial" w:hAnsi="Arial" w:cs="Arial"/>
                <w:iCs/>
              </w:rPr>
              <w:t xml:space="preserve"> </w:t>
            </w:r>
            <w:r w:rsidRPr="00E672EB">
              <w:rPr>
                <w:rFonts w:ascii="Arial" w:hAnsi="Arial" w:cs="Arial"/>
                <w:iCs/>
              </w:rPr>
              <w:t xml:space="preserve">in den nächsten vier Jahren ein Maßnahmenprogramm zu entwickeln und umzusetzen, </w:t>
            </w:r>
            <w:proofErr w:type="gramStart"/>
            <w:r w:rsidRPr="00E672EB">
              <w:rPr>
                <w:rFonts w:ascii="Arial" w:hAnsi="Arial" w:cs="Arial"/>
                <w:iCs/>
              </w:rPr>
              <w:t>das</w:t>
            </w:r>
            <w:proofErr w:type="gramEnd"/>
            <w:r w:rsidRPr="00E672EB">
              <w:rPr>
                <w:rFonts w:ascii="Arial" w:hAnsi="Arial" w:cs="Arial"/>
                <w:iCs/>
              </w:rPr>
              <w:t xml:space="preserve"> den </w:t>
            </w:r>
            <w:r w:rsidR="00E91DFA">
              <w:rPr>
                <w:rFonts w:ascii="Arial" w:hAnsi="Arial" w:cs="Arial"/>
                <w:iCs/>
              </w:rPr>
              <w:t>in der Begründung</w:t>
            </w:r>
            <w:r w:rsidRPr="00E672EB">
              <w:rPr>
                <w:rFonts w:ascii="Arial" w:hAnsi="Arial" w:cs="Arial"/>
                <w:iCs/>
              </w:rPr>
              <w:t xml:space="preserve"> formulierten Forderungen und Änderungsbedarfen gerecht wird.</w:t>
            </w:r>
          </w:p>
          <w:p w:rsidR="005F0109" w:rsidRDefault="005F0109" w:rsidP="005F0109">
            <w:pPr>
              <w:ind w:right="-53"/>
              <w:rPr>
                <w:rFonts w:ascii="Arial" w:hAnsi="Arial" w:cs="Arial"/>
                <w:i/>
                <w:iCs/>
              </w:rPr>
            </w:pPr>
          </w:p>
          <w:p w:rsidR="005F0109" w:rsidRDefault="005F0109" w:rsidP="005F0109">
            <w:pPr>
              <w:ind w:right="-53"/>
              <w:rPr>
                <w:rFonts w:ascii="Arial" w:hAnsi="Arial" w:cs="Arial"/>
                <w:i/>
                <w:iCs/>
              </w:rPr>
            </w:pPr>
          </w:p>
          <w:p w:rsidR="005F0109" w:rsidRPr="00686F32" w:rsidRDefault="005F0109" w:rsidP="005F0109">
            <w:pPr>
              <w:ind w:right="-53"/>
              <w:rPr>
                <w:rFonts w:ascii="Arial" w:hAnsi="Arial" w:cs="Arial"/>
                <w:i/>
                <w:iCs/>
              </w:rPr>
            </w:pPr>
          </w:p>
        </w:tc>
        <w:tc>
          <w:tcPr>
            <w:tcW w:w="1064" w:type="dxa"/>
          </w:tcPr>
          <w:p w:rsidR="005F0109" w:rsidRDefault="005F0109" w:rsidP="005F0109">
            <w:pPr>
              <w:rPr>
                <w:rFonts w:ascii="Arial" w:hAnsi="Arial" w:cs="Arial"/>
              </w:rPr>
            </w:pPr>
          </w:p>
        </w:tc>
      </w:tr>
      <w:tr w:rsidR="005F0109" w:rsidTr="005F0109">
        <w:trPr>
          <w:gridAfter w:val="1"/>
          <w:wAfter w:w="1064" w:type="dxa"/>
          <w:trHeight w:val="1557"/>
        </w:trPr>
        <w:tc>
          <w:tcPr>
            <w:tcW w:w="9426" w:type="dxa"/>
            <w:gridSpan w:val="3"/>
          </w:tcPr>
          <w:p w:rsidR="005F0109" w:rsidRDefault="005F0109" w:rsidP="005F0109">
            <w:pPr>
              <w:rPr>
                <w:rFonts w:ascii="Arial" w:hAnsi="Arial" w:cs="Arial"/>
                <w:b/>
                <w:bCs/>
                <w:sz w:val="20"/>
                <w:szCs w:val="20"/>
                <w:u w:val="single"/>
              </w:rPr>
            </w:pPr>
            <w:r w:rsidRPr="003B5617">
              <w:rPr>
                <w:rFonts w:ascii="Arial" w:hAnsi="Arial" w:cs="Arial"/>
                <w:b/>
                <w:bCs/>
                <w:sz w:val="20"/>
                <w:szCs w:val="20"/>
                <w:u w:val="single"/>
              </w:rPr>
              <w:t>Begründung:</w:t>
            </w:r>
          </w:p>
          <w:p w:rsidR="005F0109" w:rsidRPr="003B5617" w:rsidRDefault="005F0109" w:rsidP="005F0109">
            <w:pPr>
              <w:rPr>
                <w:rFonts w:ascii="Arial" w:hAnsi="Arial" w:cs="Arial"/>
                <w:b/>
                <w:bCs/>
                <w:sz w:val="20"/>
                <w:szCs w:val="20"/>
                <w:u w:val="single"/>
              </w:rPr>
            </w:pPr>
          </w:p>
          <w:p w:rsidR="00E91DFA" w:rsidRPr="00E91DFA" w:rsidRDefault="00E91DFA" w:rsidP="00E91DFA">
            <w:pPr>
              <w:rPr>
                <w:rFonts w:ascii="Arial" w:hAnsi="Arial" w:cs="Arial"/>
                <w:b/>
                <w:sz w:val="20"/>
                <w:szCs w:val="20"/>
              </w:rPr>
            </w:pPr>
            <w:r w:rsidRPr="00E91DFA">
              <w:rPr>
                <w:rFonts w:ascii="Arial" w:hAnsi="Arial" w:cs="Arial"/>
                <w:b/>
                <w:sz w:val="20"/>
                <w:szCs w:val="20"/>
              </w:rPr>
              <w:t>Ausgangslage</w:t>
            </w:r>
          </w:p>
          <w:p w:rsidR="00E91DFA" w:rsidRPr="00E91DFA" w:rsidRDefault="00E91DFA" w:rsidP="00E91DFA">
            <w:pPr>
              <w:jc w:val="both"/>
              <w:rPr>
                <w:rFonts w:ascii="Arial" w:hAnsi="Arial" w:cs="Arial"/>
                <w:sz w:val="20"/>
                <w:szCs w:val="20"/>
              </w:rPr>
            </w:pPr>
            <w:r w:rsidRPr="00E91DFA">
              <w:rPr>
                <w:rFonts w:ascii="Arial" w:hAnsi="Arial" w:cs="Arial"/>
                <w:sz w:val="20"/>
                <w:szCs w:val="20"/>
              </w:rPr>
              <w:t xml:space="preserve">Die Digitalisierung schreitet immer weiter voran und tangiert nahezu alle Lebens- und Arbeitsbereiche. So werden Finanzgeschäfte zunehmend nur noch online abgewickelt, Waren werden im Internet weltweit bestellt und geliefert, das Internet der Dinge hält Einzug in Industrieanlagen, Kraftfahrzeuge und Haushalte. Nahezu jeder Bürger verfügt über ein Smartphone, dass mitunter über die Rechenleistung eines haushaltsüblichen </w:t>
            </w:r>
            <w:proofErr w:type="spellStart"/>
            <w:r w:rsidRPr="00E91DFA">
              <w:rPr>
                <w:rFonts w:ascii="Arial" w:hAnsi="Arial" w:cs="Arial"/>
                <w:sz w:val="20"/>
                <w:szCs w:val="20"/>
              </w:rPr>
              <w:t>Personalcomputers</w:t>
            </w:r>
            <w:proofErr w:type="spellEnd"/>
            <w:r w:rsidRPr="00E91DFA">
              <w:rPr>
                <w:rFonts w:ascii="Arial" w:hAnsi="Arial" w:cs="Arial"/>
                <w:sz w:val="20"/>
                <w:szCs w:val="20"/>
              </w:rPr>
              <w:t xml:space="preserve"> verfügt. Kriminelle nutzen die Anonymität der digitalen Welt und die dortigen grenzüberschreitenden Tatgelegenheitsstrukturen, so dass sich viele Deliktsfelder der klassischen Kriminalität zunehmend ins Internet verlagern. Diese digitale Welt begründet auch eine neue spezifische Kriminalität – die Cyber-Kriminalität- . Die Gesellschaft und die sog. kritischen Infrastrukturen</w:t>
            </w:r>
            <w:r w:rsidRPr="00E91DFA">
              <w:rPr>
                <w:rStyle w:val="Funotenzeichen"/>
                <w:rFonts w:ascii="Arial" w:hAnsi="Arial" w:cs="Arial"/>
                <w:sz w:val="20"/>
                <w:szCs w:val="20"/>
              </w:rPr>
              <w:footnoteReference w:id="1"/>
            </w:r>
            <w:r w:rsidRPr="00E91DFA">
              <w:rPr>
                <w:rFonts w:ascii="Arial" w:hAnsi="Arial" w:cs="Arial"/>
                <w:sz w:val="20"/>
                <w:szCs w:val="20"/>
              </w:rPr>
              <w:t xml:space="preserve"> werden immer anfälliger für Cyberangriffe. </w:t>
            </w:r>
          </w:p>
          <w:p w:rsidR="00E91DFA" w:rsidRPr="00E91DFA" w:rsidRDefault="00E91DFA" w:rsidP="00E91DFA">
            <w:pPr>
              <w:jc w:val="both"/>
              <w:rPr>
                <w:rFonts w:ascii="Arial" w:hAnsi="Arial" w:cs="Arial"/>
                <w:sz w:val="20"/>
                <w:szCs w:val="20"/>
              </w:rPr>
            </w:pPr>
            <w:r w:rsidRPr="00E91DFA">
              <w:rPr>
                <w:rFonts w:ascii="Arial" w:hAnsi="Arial" w:cs="Arial"/>
                <w:sz w:val="20"/>
                <w:szCs w:val="20"/>
              </w:rPr>
              <w:t>Vor diesem Hintergrund sind die Sicherheitsbehörden vor große Herausforderungen gestellt. Die Erfüllung ihres gesetzlichen Auftrages bei der Bekämpfung derartiger Kriminalitätsfelder wird begleitet durch den Eigenbedarf an eine sachgerechte Aufgabenerledigung in einer digitalen Arbeitswelt, die auch bei  Arbeitsprozessen in der Verwaltung Rationalisierungs- und Beschleunigungspotentiale freisetzen soll. Dabei gilt unverändert „Der Mensch steht im Mittelpunkt – Fortschritt mit Augenmaß“.</w:t>
            </w:r>
          </w:p>
          <w:p w:rsidR="00E91DFA" w:rsidRPr="00E91DFA" w:rsidRDefault="00E91DFA" w:rsidP="00E91DFA">
            <w:pPr>
              <w:rPr>
                <w:rFonts w:ascii="Arial" w:hAnsi="Arial" w:cs="Arial"/>
                <w:sz w:val="20"/>
                <w:szCs w:val="20"/>
              </w:rPr>
            </w:pPr>
          </w:p>
          <w:p w:rsidR="00E91DFA" w:rsidRPr="00E91DFA" w:rsidRDefault="00E91DFA" w:rsidP="00E91DFA">
            <w:pPr>
              <w:rPr>
                <w:rFonts w:ascii="Arial" w:hAnsi="Arial" w:cs="Arial"/>
                <w:b/>
                <w:sz w:val="20"/>
                <w:szCs w:val="20"/>
              </w:rPr>
            </w:pPr>
            <w:r w:rsidRPr="00E91DFA">
              <w:rPr>
                <w:rFonts w:ascii="Arial" w:hAnsi="Arial" w:cs="Arial"/>
                <w:b/>
                <w:sz w:val="20"/>
                <w:szCs w:val="20"/>
              </w:rPr>
              <w:t>Handlungsbedarf</w:t>
            </w:r>
          </w:p>
          <w:p w:rsidR="00E91DFA" w:rsidRDefault="00E91DFA" w:rsidP="00E91DFA">
            <w:pPr>
              <w:jc w:val="both"/>
            </w:pPr>
            <w:r w:rsidRPr="00E91DFA">
              <w:rPr>
                <w:rFonts w:ascii="Arial" w:hAnsi="Arial" w:cs="Arial"/>
                <w:sz w:val="20"/>
                <w:szCs w:val="20"/>
              </w:rPr>
              <w:t>Der GdP-Bezirk Bundeskriminalamt muss sich diesen Herausforderungen, Chancen und Risiken stellen, um sowohl in Richtung der Behörden des Bezirkes als auch über die GdP Bund in Richtung Gesetzgeber und Tarifpartner Forderungen einzubringen bzw. Änderungsbedarfe aufzuzeigen</w:t>
            </w:r>
            <w:r>
              <w:t>.</w:t>
            </w:r>
          </w:p>
          <w:p w:rsidR="00E91DFA" w:rsidRDefault="00E91DFA" w:rsidP="00E91DFA">
            <w:pPr>
              <w:jc w:val="both"/>
            </w:pPr>
          </w:p>
          <w:p w:rsidR="00E91DFA" w:rsidRPr="00E91DFA" w:rsidRDefault="00E91DFA" w:rsidP="00E91DFA">
            <w:pPr>
              <w:rPr>
                <w:rFonts w:ascii="Arial" w:hAnsi="Arial" w:cs="Arial"/>
                <w:b/>
                <w:sz w:val="20"/>
                <w:szCs w:val="20"/>
              </w:rPr>
            </w:pPr>
            <w:r w:rsidRPr="00E91DFA">
              <w:rPr>
                <w:rFonts w:ascii="Arial" w:hAnsi="Arial" w:cs="Arial"/>
                <w:b/>
                <w:sz w:val="20"/>
                <w:szCs w:val="20"/>
              </w:rPr>
              <w:t>Forderungen und Änderungsbedarfe</w:t>
            </w:r>
          </w:p>
          <w:p w:rsidR="00E91DFA" w:rsidRPr="00E91DFA" w:rsidRDefault="00E91DFA" w:rsidP="00E91DFA">
            <w:pPr>
              <w:rPr>
                <w:rFonts w:ascii="Arial" w:hAnsi="Arial" w:cs="Arial"/>
                <w:sz w:val="20"/>
                <w:szCs w:val="20"/>
              </w:rPr>
            </w:pPr>
          </w:p>
          <w:p w:rsidR="00E91DFA" w:rsidRPr="00E91DFA" w:rsidRDefault="00E91DFA" w:rsidP="00E91DFA">
            <w:pPr>
              <w:pStyle w:val="Listenabsatz"/>
              <w:numPr>
                <w:ilvl w:val="0"/>
                <w:numId w:val="1"/>
              </w:numPr>
              <w:jc w:val="both"/>
              <w:rPr>
                <w:rFonts w:ascii="Arial" w:hAnsi="Arial" w:cs="Arial"/>
                <w:sz w:val="20"/>
                <w:szCs w:val="20"/>
              </w:rPr>
            </w:pPr>
            <w:r w:rsidRPr="00E91DFA">
              <w:rPr>
                <w:rFonts w:ascii="Arial" w:hAnsi="Arial" w:cs="Arial"/>
                <w:b/>
                <w:sz w:val="20"/>
                <w:szCs w:val="20"/>
              </w:rPr>
              <w:t>IT- und Datensicherheit:</w:t>
            </w:r>
            <w:r w:rsidRPr="00E91DFA">
              <w:rPr>
                <w:rFonts w:ascii="Arial" w:hAnsi="Arial" w:cs="Arial"/>
                <w:sz w:val="20"/>
                <w:szCs w:val="20"/>
              </w:rPr>
              <w:t xml:space="preserve"> Kritische Infrastrukturen sowie insbesondere die Infrastrukturen der Behörden des Bezirkes sowie die dort verfügbaren Daten der Bürgerinnen und Bürger und die der dort beschäftigten Kolleginnen und Kollegen sind gegen jedwede Angriffe besonders zu schützen.</w:t>
            </w:r>
          </w:p>
          <w:p w:rsidR="00E91DFA" w:rsidRDefault="00E91DFA" w:rsidP="00E91DFA">
            <w:pPr>
              <w:pStyle w:val="Listenabsatz"/>
              <w:jc w:val="both"/>
            </w:pPr>
          </w:p>
          <w:p w:rsidR="00E91DFA" w:rsidRPr="00E91DFA" w:rsidRDefault="00E91DFA" w:rsidP="00E91DFA">
            <w:pPr>
              <w:pStyle w:val="Listenabsatz"/>
              <w:numPr>
                <w:ilvl w:val="0"/>
                <w:numId w:val="1"/>
              </w:numPr>
              <w:jc w:val="both"/>
              <w:rPr>
                <w:rFonts w:ascii="Arial" w:hAnsi="Arial" w:cs="Arial"/>
                <w:sz w:val="20"/>
                <w:szCs w:val="20"/>
              </w:rPr>
            </w:pPr>
            <w:r w:rsidRPr="00E91DFA">
              <w:rPr>
                <w:rFonts w:ascii="Arial" w:hAnsi="Arial" w:cs="Arial"/>
                <w:b/>
                <w:sz w:val="20"/>
                <w:szCs w:val="20"/>
              </w:rPr>
              <w:lastRenderedPageBreak/>
              <w:t>Digitalisierung der Arbeitsprozesse:</w:t>
            </w:r>
            <w:r w:rsidRPr="00E91DFA">
              <w:rPr>
                <w:rFonts w:ascii="Arial" w:hAnsi="Arial" w:cs="Arial"/>
                <w:sz w:val="20"/>
                <w:szCs w:val="20"/>
              </w:rPr>
              <w:t xml:space="preserve"> Die Digitalisierung und Rationalisierung von Arbeitsprozessen der Behörden des Bezirkes hat massive Auswirkungen auf die Arbeitswelt und die Tätigkeiten der eingesetzten Kolleginnen und Kollegen. Insbesondere Bereiche, in denen einfache Tätigkeiten wegfallen, sind rechtzeitig zu identifizieren. Die dort eingesetzten Kolleginnen und Kollegen sind frühzeitig so zu qualifizieren, dass es nicht zu „Unterbringungsfällen“, Entlassungen oder Änderungskündigungen kommt, sondern die Wahrnehmung höherwertiger Tätigkeiten unter Beachtung der tariflichen und beamtenrechtlichen Rahmenbedingungen erfolgt.</w:t>
            </w:r>
          </w:p>
          <w:p w:rsidR="00E91DFA" w:rsidRPr="00E91DFA" w:rsidRDefault="00E91DFA" w:rsidP="00E91DFA">
            <w:pPr>
              <w:pStyle w:val="Listenabsatz"/>
              <w:rPr>
                <w:rFonts w:ascii="Arial" w:hAnsi="Arial" w:cs="Arial"/>
                <w:sz w:val="20"/>
                <w:szCs w:val="20"/>
              </w:rPr>
            </w:pPr>
          </w:p>
          <w:p w:rsidR="00E91DFA" w:rsidRPr="00E91DFA" w:rsidRDefault="00E91DFA" w:rsidP="00E91DFA">
            <w:pPr>
              <w:pStyle w:val="Listenabsatz"/>
              <w:numPr>
                <w:ilvl w:val="0"/>
                <w:numId w:val="1"/>
              </w:numPr>
              <w:jc w:val="both"/>
              <w:rPr>
                <w:rFonts w:ascii="Arial" w:hAnsi="Arial" w:cs="Arial"/>
                <w:sz w:val="20"/>
                <w:szCs w:val="20"/>
              </w:rPr>
            </w:pPr>
            <w:r w:rsidRPr="00E91DFA">
              <w:rPr>
                <w:rFonts w:ascii="Arial" w:hAnsi="Arial" w:cs="Arial"/>
                <w:b/>
                <w:sz w:val="20"/>
                <w:szCs w:val="20"/>
              </w:rPr>
              <w:t>Qualifizierung:</w:t>
            </w:r>
            <w:r w:rsidRPr="00E91DFA">
              <w:rPr>
                <w:rFonts w:ascii="Arial" w:hAnsi="Arial" w:cs="Arial"/>
                <w:sz w:val="20"/>
                <w:szCs w:val="20"/>
              </w:rPr>
              <w:t xml:space="preserve"> In allen Bereichen sind Qualifizierungsmaßnahmen zu initiieren, die es den Kolleginnen und Kollegen erlaubt, mit der Digitalisierung und dem damit verbundenen technischen Entwicklungen Schritt zu halten.</w:t>
            </w:r>
          </w:p>
          <w:p w:rsidR="00E91DFA" w:rsidRPr="00E91DFA" w:rsidRDefault="00E91DFA" w:rsidP="00E91DFA">
            <w:pPr>
              <w:pStyle w:val="Listenabsatz"/>
              <w:jc w:val="both"/>
              <w:rPr>
                <w:rFonts w:ascii="Arial" w:hAnsi="Arial" w:cs="Arial"/>
                <w:sz w:val="20"/>
                <w:szCs w:val="20"/>
              </w:rPr>
            </w:pPr>
          </w:p>
          <w:p w:rsidR="00E91DFA" w:rsidRPr="00E91DFA" w:rsidRDefault="00E91DFA" w:rsidP="00E91DFA">
            <w:pPr>
              <w:pStyle w:val="Listenabsatz"/>
              <w:numPr>
                <w:ilvl w:val="0"/>
                <w:numId w:val="1"/>
              </w:numPr>
              <w:jc w:val="both"/>
              <w:rPr>
                <w:rFonts w:ascii="Arial" w:hAnsi="Arial" w:cs="Arial"/>
                <w:sz w:val="20"/>
                <w:szCs w:val="20"/>
              </w:rPr>
            </w:pPr>
            <w:r w:rsidRPr="00E91DFA">
              <w:rPr>
                <w:rFonts w:ascii="Arial" w:hAnsi="Arial" w:cs="Arial"/>
                <w:b/>
                <w:sz w:val="20"/>
                <w:szCs w:val="20"/>
              </w:rPr>
              <w:t>Flexibilisierungspotentiale:</w:t>
            </w:r>
            <w:r w:rsidRPr="00E91DFA">
              <w:rPr>
                <w:rFonts w:ascii="Arial" w:hAnsi="Arial" w:cs="Arial"/>
                <w:sz w:val="20"/>
                <w:szCs w:val="20"/>
              </w:rPr>
              <w:t xml:space="preserve"> Flexibilisierungspotentiale, die sich zugunsten der Kolleginnen und Kollegen durch die Digitalisierung, etwa im Hinblick auf E-Learning oder mobiles Arbeiten ergeben, sind zu nutzen. Dabei ist dafür Sorge zu tragen, dass die arbeitszeitrechtlichen Bestimmungen eingehalten werden. Ferner sind Maßnahmen zu treffen, die eine klare Abgrenzung von Berufs- und Privatleben sicherstellen.</w:t>
            </w:r>
          </w:p>
          <w:p w:rsidR="00E91DFA" w:rsidRPr="00E91DFA" w:rsidRDefault="00E91DFA" w:rsidP="00E91DFA">
            <w:pPr>
              <w:pStyle w:val="Listenabsatz"/>
              <w:jc w:val="both"/>
              <w:rPr>
                <w:rFonts w:ascii="Arial" w:hAnsi="Arial" w:cs="Arial"/>
                <w:sz w:val="20"/>
                <w:szCs w:val="20"/>
              </w:rPr>
            </w:pPr>
          </w:p>
          <w:p w:rsidR="00E91DFA" w:rsidRPr="00E91DFA" w:rsidRDefault="00E91DFA" w:rsidP="00E91DFA">
            <w:pPr>
              <w:pStyle w:val="Listenabsatz"/>
              <w:numPr>
                <w:ilvl w:val="0"/>
                <w:numId w:val="1"/>
              </w:numPr>
              <w:jc w:val="both"/>
              <w:rPr>
                <w:rFonts w:ascii="Arial" w:hAnsi="Arial" w:cs="Arial"/>
                <w:sz w:val="20"/>
                <w:szCs w:val="20"/>
              </w:rPr>
            </w:pPr>
            <w:r w:rsidRPr="00E91DFA">
              <w:rPr>
                <w:rFonts w:ascii="Arial" w:hAnsi="Arial" w:cs="Arial"/>
                <w:b/>
                <w:sz w:val="20"/>
                <w:szCs w:val="20"/>
              </w:rPr>
              <w:t>Konkurrenzfähigkeit:</w:t>
            </w:r>
            <w:r w:rsidRPr="00E91DFA">
              <w:rPr>
                <w:rFonts w:ascii="Arial" w:hAnsi="Arial" w:cs="Arial"/>
                <w:sz w:val="20"/>
                <w:szCs w:val="20"/>
              </w:rPr>
              <w:t xml:space="preserve"> Um im digitalen Wettbewerb mit der freien Wirtschaft mithalten zu können sind zur Gewährleistung einer modernen und sicheren Infrastruktur aber auch zur Sicherstellung der Funktionsfähigkeit der Behörden des Bezirkes erhebliche Investitionen in die technische Infrastruktur der Behörden erforderlich. Um konkurrenz- und handlungsfähig zu bleiben sowie weiterhin Personal gewinnen und qualifiziertes Personal halten zu können, sind für noch näher zu beschreibende Bereiche erhebliche Anpassungen der Besoldungs- und Tarifstrukturen erforderlich.</w:t>
            </w:r>
          </w:p>
          <w:p w:rsidR="00E91DFA" w:rsidRPr="00E91DFA" w:rsidRDefault="00E91DFA" w:rsidP="00E91DFA">
            <w:pPr>
              <w:pStyle w:val="Listenabsatz"/>
              <w:jc w:val="both"/>
              <w:rPr>
                <w:rFonts w:ascii="Arial" w:hAnsi="Arial" w:cs="Arial"/>
                <w:sz w:val="20"/>
                <w:szCs w:val="20"/>
              </w:rPr>
            </w:pPr>
          </w:p>
          <w:p w:rsidR="00E91DFA" w:rsidRPr="00E91DFA" w:rsidRDefault="00E91DFA" w:rsidP="00E91DFA">
            <w:pPr>
              <w:pStyle w:val="Listenabsatz"/>
              <w:numPr>
                <w:ilvl w:val="0"/>
                <w:numId w:val="1"/>
              </w:numPr>
              <w:jc w:val="both"/>
              <w:rPr>
                <w:rFonts w:ascii="Arial" w:hAnsi="Arial" w:cs="Arial"/>
                <w:sz w:val="20"/>
                <w:szCs w:val="20"/>
              </w:rPr>
            </w:pPr>
            <w:r w:rsidRPr="00E91DFA">
              <w:rPr>
                <w:rFonts w:ascii="Arial" w:hAnsi="Arial" w:cs="Arial"/>
                <w:b/>
                <w:sz w:val="20"/>
                <w:szCs w:val="20"/>
              </w:rPr>
              <w:t>IT der Sicherheitsbehörden:</w:t>
            </w:r>
            <w:r w:rsidRPr="00E91DFA">
              <w:rPr>
                <w:rFonts w:ascii="Arial" w:hAnsi="Arial" w:cs="Arial"/>
                <w:sz w:val="20"/>
                <w:szCs w:val="20"/>
              </w:rPr>
              <w:t xml:space="preserve"> Insbesondere in den Sicherheitsbehörden sind massive Investitionen in spezielle IT-Infrastruktur und Fachpersonal erforderlich, um der Verlagerung krimineller Strukturen und Gefahrenpotentiale in den Cyberraum Rechnung zu tragen. Die Sicherheitsbehörden müssen so aufgestellt werden, dass sie – unabhängig von anderen Stellen und Behörden – sowohl ihren Präventiv- als auch ihrem Strafverfolgungsauftrag im Cyberraum Rechnung tragen können. Das Ziel die polizeiliche Datenverarbeitung auf eine gemeinsame Bund-Länder-Plattform zu heben und zu vereinheitlichen ist zu unterstützen. Datenschutzrechtliche Vorgaben, die eine Trennung von Bundes- und Länderdatenbeständen vorgeben, sind aufzuheben. Der Globalisierung, dem grenzenlosen Cyberraum und einer erheblich gestiegenen Mobilität der Gesamtgesellschaft muss damit Rechnung getragen werden. Die Sicherheitsbehörden müssen auf einen Blick erkennen, wo und welche Informationen zum polizeilichen Gegenüber vorliegen. Selbstverständlich muss eine entsprechende Datenschutzkontrolle im Hinblick auf die Zulässigkeit und Verwendung der Daten der Bürgerinnen und Bürger weiterhin gewahrt bleiben. </w:t>
            </w:r>
          </w:p>
          <w:p w:rsidR="00E91DFA" w:rsidRPr="00E91DFA" w:rsidRDefault="00E91DFA" w:rsidP="00E91DFA">
            <w:pPr>
              <w:pStyle w:val="Listenabsatz"/>
              <w:jc w:val="both"/>
              <w:rPr>
                <w:rFonts w:ascii="Arial" w:hAnsi="Arial" w:cs="Arial"/>
                <w:sz w:val="20"/>
                <w:szCs w:val="20"/>
              </w:rPr>
            </w:pPr>
          </w:p>
          <w:p w:rsidR="00E91DFA" w:rsidRPr="00E91DFA" w:rsidRDefault="00E91DFA" w:rsidP="00E91DFA">
            <w:pPr>
              <w:pStyle w:val="Listenabsatz"/>
              <w:numPr>
                <w:ilvl w:val="0"/>
                <w:numId w:val="1"/>
              </w:numPr>
              <w:jc w:val="both"/>
              <w:rPr>
                <w:rFonts w:ascii="Arial" w:hAnsi="Arial" w:cs="Arial"/>
                <w:sz w:val="20"/>
                <w:szCs w:val="20"/>
              </w:rPr>
            </w:pPr>
            <w:r w:rsidRPr="00E91DFA">
              <w:rPr>
                <w:rFonts w:ascii="Arial" w:hAnsi="Arial" w:cs="Arial"/>
                <w:b/>
                <w:sz w:val="20"/>
                <w:szCs w:val="20"/>
              </w:rPr>
              <w:t>Mensch im Mittelpunkt:</w:t>
            </w:r>
            <w:r w:rsidRPr="00E91DFA">
              <w:rPr>
                <w:rFonts w:ascii="Arial" w:hAnsi="Arial" w:cs="Arial"/>
                <w:sz w:val="20"/>
                <w:szCs w:val="20"/>
              </w:rPr>
              <w:t xml:space="preserve"> Die Kolleginnen und Kollegen dürfen nicht Opfer der Digitalisierung werden. Zunehmende Digitalisierung, Automatisierung und Rationalisierung muss mit besonderen Maßnahmen des Arbeitsschutzes begegnet werden. Darüber hinaus müssen die Rahmenbedingungen moderner Arbeitswelten so ausgestaltet werden, dass kreative Räume bleiben, Entspannungs-und Erholungspausen gewährleistet sind und vor allem Möglichkeiten der Kommunikation von Mensch zu Mensch erhalten bleiben. „Der Mensch steht im </w:t>
            </w:r>
            <w:bookmarkStart w:id="0" w:name="_GoBack"/>
            <w:bookmarkEnd w:id="0"/>
            <w:r w:rsidRPr="00E91DFA">
              <w:rPr>
                <w:rFonts w:ascii="Arial" w:hAnsi="Arial" w:cs="Arial"/>
                <w:sz w:val="20"/>
                <w:szCs w:val="20"/>
              </w:rPr>
              <w:t xml:space="preserve">Mittelpunkt – Fortschritt mit Augenmaß“. </w:t>
            </w:r>
          </w:p>
          <w:p w:rsidR="000D2F1F" w:rsidRPr="00E91DFA" w:rsidRDefault="000D2F1F" w:rsidP="000D2F1F">
            <w:pPr>
              <w:rPr>
                <w:rFonts w:ascii="Arial" w:hAnsi="Arial" w:cs="Arial"/>
                <w:b/>
                <w:bCs/>
                <w:sz w:val="20"/>
                <w:szCs w:val="20"/>
                <w:u w:val="single"/>
              </w:rPr>
            </w:pPr>
          </w:p>
          <w:p w:rsidR="008564ED" w:rsidRDefault="008564ED" w:rsidP="008564ED">
            <w:pPr>
              <w:rPr>
                <w:rFonts w:ascii="Arial" w:hAnsi="Arial" w:cs="Arial"/>
                <w:b/>
                <w:bCs/>
                <w:sz w:val="22"/>
                <w:szCs w:val="22"/>
              </w:rPr>
            </w:pPr>
            <w:r>
              <w:rPr>
                <w:rFonts w:ascii="Arial" w:hAnsi="Arial" w:cs="Arial"/>
                <w:b/>
                <w:bCs/>
                <w:sz w:val="22"/>
                <w:szCs w:val="22"/>
              </w:rPr>
              <w:t>Empfehlung der</w:t>
            </w:r>
          </w:p>
          <w:p w:rsidR="008564ED" w:rsidRDefault="008564ED" w:rsidP="008564ED">
            <w:pPr>
              <w:rPr>
                <w:rFonts w:ascii="Arial" w:hAnsi="Arial" w:cs="Arial"/>
                <w:b/>
                <w:bCs/>
                <w:sz w:val="22"/>
                <w:szCs w:val="22"/>
              </w:rPr>
            </w:pPr>
            <w:r w:rsidRPr="00C57897">
              <w:rPr>
                <w:rFonts w:ascii="Arial" w:hAnsi="Arial" w:cs="Arial"/>
                <w:b/>
                <w:bCs/>
                <w:sz w:val="22"/>
                <w:szCs w:val="22"/>
              </w:rPr>
              <w:t>Antragsberatungskommission:</w:t>
            </w:r>
            <w:r>
              <w:rPr>
                <w:rFonts w:ascii="Arial" w:hAnsi="Arial" w:cs="Arial"/>
                <w:b/>
                <w:bCs/>
                <w:sz w:val="22"/>
                <w:szCs w:val="22"/>
              </w:rPr>
              <w:t xml:space="preserve"> </w:t>
            </w:r>
          </w:p>
          <w:p w:rsidR="008564ED" w:rsidRDefault="008564ED" w:rsidP="008564ED">
            <w:pPr>
              <w:rPr>
                <w:rFonts w:ascii="Arial" w:hAnsi="Arial" w:cs="Arial"/>
                <w:b/>
                <w:bCs/>
                <w:sz w:val="22"/>
                <w:szCs w:val="22"/>
              </w:rPr>
            </w:pPr>
          </w:p>
          <w:p w:rsidR="008564ED" w:rsidRDefault="008564ED" w:rsidP="008564E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6"/>
              <w:gridCol w:w="1971"/>
              <w:gridCol w:w="446"/>
              <w:gridCol w:w="2525"/>
              <w:gridCol w:w="446"/>
              <w:gridCol w:w="1490"/>
              <w:gridCol w:w="446"/>
              <w:gridCol w:w="1396"/>
            </w:tblGrid>
            <w:tr w:rsidR="008564ED" w:rsidRPr="008E3847" w:rsidTr="00D609A3">
              <w:tc>
                <w:tcPr>
                  <w:tcW w:w="446" w:type="dxa"/>
                  <w:vAlign w:val="center"/>
                </w:tcPr>
                <w:p w:rsidR="008564ED" w:rsidRPr="007F55C3" w:rsidRDefault="008564ED" w:rsidP="008564ED">
                  <w:pPr>
                    <w:rPr>
                      <w:rFonts w:ascii="Arial" w:hAnsi="Arial" w:cs="Arial"/>
                      <w:sz w:val="20"/>
                      <w:szCs w:val="20"/>
                    </w:rPr>
                  </w:pPr>
                  <w:r w:rsidRPr="007F55C3">
                    <w:rPr>
                      <w:rFonts w:ascii="Arial" w:hAnsi="Arial" w:cs="Arial"/>
                      <w:sz w:val="20"/>
                      <w:szCs w:val="20"/>
                    </w:rPr>
                    <w:fldChar w:fldCharType="begin">
                      <w:ffData>
                        <w:name w:val="Kontrollkästchen1"/>
                        <w:enabled/>
                        <w:calcOnExit w:val="0"/>
                        <w:checkBox>
                          <w:sizeAuto/>
                          <w:default w:val="0"/>
                        </w:checkBox>
                      </w:ffData>
                    </w:fldChar>
                  </w:r>
                  <w:r w:rsidRPr="007F55C3">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F55C3">
                    <w:rPr>
                      <w:rFonts w:ascii="Arial" w:hAnsi="Arial" w:cs="Arial"/>
                      <w:sz w:val="20"/>
                      <w:szCs w:val="20"/>
                    </w:rPr>
                    <w:fldChar w:fldCharType="end"/>
                  </w:r>
                </w:p>
              </w:tc>
              <w:tc>
                <w:tcPr>
                  <w:tcW w:w="1971" w:type="dxa"/>
                  <w:shd w:val="pct10" w:color="auto" w:fill="auto"/>
                  <w:vAlign w:val="center"/>
                </w:tcPr>
                <w:p w:rsidR="008564ED" w:rsidRPr="007F55C3" w:rsidRDefault="008564ED" w:rsidP="008564ED">
                  <w:pPr>
                    <w:rPr>
                      <w:rFonts w:ascii="Arial" w:hAnsi="Arial" w:cs="Arial"/>
                      <w:sz w:val="20"/>
                      <w:szCs w:val="20"/>
                    </w:rPr>
                  </w:pPr>
                  <w:r w:rsidRPr="007F55C3">
                    <w:rPr>
                      <w:rFonts w:ascii="Arial" w:hAnsi="Arial" w:cs="Arial"/>
                      <w:sz w:val="20"/>
                      <w:szCs w:val="20"/>
                    </w:rPr>
                    <w:t>Annahme</w:t>
                  </w:r>
                </w:p>
              </w:tc>
              <w:tc>
                <w:tcPr>
                  <w:tcW w:w="446" w:type="dxa"/>
                  <w:vAlign w:val="center"/>
                </w:tcPr>
                <w:p w:rsidR="008564ED" w:rsidRPr="007F55C3" w:rsidRDefault="008564ED" w:rsidP="008564ED">
                  <w:pPr>
                    <w:rPr>
                      <w:rFonts w:ascii="Arial" w:hAnsi="Arial" w:cs="Arial"/>
                      <w:sz w:val="20"/>
                      <w:szCs w:val="20"/>
                    </w:rPr>
                  </w:pPr>
                  <w:r w:rsidRPr="007F55C3">
                    <w:rPr>
                      <w:rFonts w:ascii="Arial" w:hAnsi="Arial" w:cs="Arial"/>
                      <w:sz w:val="20"/>
                      <w:szCs w:val="20"/>
                    </w:rPr>
                    <w:fldChar w:fldCharType="begin">
                      <w:ffData>
                        <w:name w:val="Kontrollkästchen1"/>
                        <w:enabled/>
                        <w:calcOnExit w:val="0"/>
                        <w:checkBox>
                          <w:sizeAuto/>
                          <w:default w:val="0"/>
                        </w:checkBox>
                      </w:ffData>
                    </w:fldChar>
                  </w:r>
                  <w:r w:rsidRPr="007F55C3">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F55C3">
                    <w:rPr>
                      <w:rFonts w:ascii="Arial" w:hAnsi="Arial" w:cs="Arial"/>
                      <w:sz w:val="20"/>
                      <w:szCs w:val="20"/>
                    </w:rPr>
                    <w:fldChar w:fldCharType="end"/>
                  </w:r>
                </w:p>
              </w:tc>
              <w:tc>
                <w:tcPr>
                  <w:tcW w:w="2525" w:type="dxa"/>
                  <w:shd w:val="pct10" w:color="auto" w:fill="auto"/>
                  <w:vAlign w:val="center"/>
                </w:tcPr>
                <w:p w:rsidR="008564ED" w:rsidRPr="007F55C3" w:rsidRDefault="008564ED" w:rsidP="008564ED">
                  <w:pPr>
                    <w:rPr>
                      <w:rFonts w:ascii="Arial" w:hAnsi="Arial" w:cs="Arial"/>
                      <w:sz w:val="20"/>
                      <w:szCs w:val="20"/>
                    </w:rPr>
                  </w:pPr>
                  <w:r w:rsidRPr="007F55C3">
                    <w:rPr>
                      <w:rFonts w:ascii="Arial" w:hAnsi="Arial" w:cs="Arial"/>
                      <w:sz w:val="20"/>
                      <w:szCs w:val="20"/>
                    </w:rPr>
                    <w:t>Annahme als Arbeitsmaterial zu</w:t>
                  </w:r>
                </w:p>
              </w:tc>
              <w:tc>
                <w:tcPr>
                  <w:tcW w:w="446" w:type="dxa"/>
                  <w:vAlign w:val="center"/>
                </w:tcPr>
                <w:p w:rsidR="008564ED" w:rsidRPr="007F55C3" w:rsidRDefault="008564ED" w:rsidP="008564ED">
                  <w:pPr>
                    <w:rPr>
                      <w:rFonts w:ascii="Arial" w:hAnsi="Arial" w:cs="Arial"/>
                      <w:sz w:val="20"/>
                      <w:szCs w:val="20"/>
                    </w:rPr>
                  </w:pPr>
                  <w:r w:rsidRPr="007F55C3">
                    <w:rPr>
                      <w:rFonts w:ascii="Arial" w:hAnsi="Arial" w:cs="Arial"/>
                      <w:sz w:val="20"/>
                      <w:szCs w:val="20"/>
                    </w:rPr>
                    <w:fldChar w:fldCharType="begin">
                      <w:ffData>
                        <w:name w:val="Kontrollkästchen1"/>
                        <w:enabled/>
                        <w:calcOnExit w:val="0"/>
                        <w:checkBox>
                          <w:sizeAuto/>
                          <w:default w:val="0"/>
                        </w:checkBox>
                      </w:ffData>
                    </w:fldChar>
                  </w:r>
                  <w:r w:rsidRPr="007F55C3">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F55C3">
                    <w:rPr>
                      <w:rFonts w:ascii="Arial" w:hAnsi="Arial" w:cs="Arial"/>
                      <w:sz w:val="20"/>
                      <w:szCs w:val="20"/>
                    </w:rPr>
                    <w:fldChar w:fldCharType="end"/>
                  </w:r>
                </w:p>
              </w:tc>
              <w:tc>
                <w:tcPr>
                  <w:tcW w:w="1490" w:type="dxa"/>
                  <w:shd w:val="pct10" w:color="auto" w:fill="auto"/>
                  <w:vAlign w:val="center"/>
                </w:tcPr>
                <w:p w:rsidR="008564ED" w:rsidRPr="007F55C3" w:rsidRDefault="008564ED" w:rsidP="008564ED">
                  <w:pPr>
                    <w:rPr>
                      <w:rFonts w:ascii="Arial" w:hAnsi="Arial" w:cs="Arial"/>
                      <w:sz w:val="20"/>
                      <w:szCs w:val="20"/>
                    </w:rPr>
                  </w:pPr>
                  <w:r w:rsidRPr="007F55C3">
                    <w:rPr>
                      <w:rFonts w:ascii="Arial" w:hAnsi="Arial" w:cs="Arial"/>
                      <w:sz w:val="20"/>
                      <w:szCs w:val="20"/>
                    </w:rPr>
                    <w:t>Erledigt durch</w:t>
                  </w:r>
                </w:p>
              </w:tc>
              <w:tc>
                <w:tcPr>
                  <w:tcW w:w="446" w:type="dxa"/>
                  <w:vAlign w:val="center"/>
                </w:tcPr>
                <w:p w:rsidR="008564ED" w:rsidRPr="007F55C3" w:rsidRDefault="008564ED" w:rsidP="008564ED">
                  <w:pPr>
                    <w:rPr>
                      <w:rFonts w:ascii="Arial" w:hAnsi="Arial" w:cs="Arial"/>
                      <w:sz w:val="20"/>
                      <w:szCs w:val="20"/>
                    </w:rPr>
                  </w:pPr>
                  <w:r w:rsidRPr="007F55C3">
                    <w:rPr>
                      <w:rFonts w:ascii="Arial" w:hAnsi="Arial" w:cs="Arial"/>
                      <w:sz w:val="20"/>
                      <w:szCs w:val="20"/>
                    </w:rPr>
                    <w:fldChar w:fldCharType="begin">
                      <w:ffData>
                        <w:name w:val="Kontrollkästchen1"/>
                        <w:enabled/>
                        <w:calcOnExit w:val="0"/>
                        <w:checkBox>
                          <w:sizeAuto/>
                          <w:default w:val="0"/>
                        </w:checkBox>
                      </w:ffData>
                    </w:fldChar>
                  </w:r>
                  <w:r w:rsidRPr="007F55C3">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F55C3">
                    <w:rPr>
                      <w:rFonts w:ascii="Arial" w:hAnsi="Arial" w:cs="Arial"/>
                      <w:sz w:val="20"/>
                      <w:szCs w:val="20"/>
                    </w:rPr>
                    <w:fldChar w:fldCharType="end"/>
                  </w:r>
                </w:p>
              </w:tc>
              <w:tc>
                <w:tcPr>
                  <w:tcW w:w="1396" w:type="dxa"/>
                  <w:shd w:val="pct10" w:color="auto" w:fill="auto"/>
                  <w:vAlign w:val="center"/>
                </w:tcPr>
                <w:p w:rsidR="008564ED" w:rsidRPr="007F55C3" w:rsidRDefault="008564ED" w:rsidP="008564ED">
                  <w:pPr>
                    <w:rPr>
                      <w:rFonts w:ascii="Arial" w:hAnsi="Arial" w:cs="Arial"/>
                      <w:sz w:val="20"/>
                      <w:szCs w:val="20"/>
                    </w:rPr>
                  </w:pPr>
                  <w:r w:rsidRPr="007F55C3">
                    <w:rPr>
                      <w:rFonts w:ascii="Arial" w:hAnsi="Arial" w:cs="Arial"/>
                      <w:sz w:val="20"/>
                      <w:szCs w:val="20"/>
                    </w:rPr>
                    <w:t>Nichtbefassung</w:t>
                  </w:r>
                </w:p>
              </w:tc>
            </w:tr>
            <w:tr w:rsidR="008564ED" w:rsidRPr="008E3847" w:rsidTr="00D609A3">
              <w:tc>
                <w:tcPr>
                  <w:tcW w:w="446" w:type="dxa"/>
                  <w:vAlign w:val="center"/>
                </w:tcPr>
                <w:p w:rsidR="008564ED" w:rsidRPr="007F55C3" w:rsidRDefault="008564ED" w:rsidP="008564ED">
                  <w:pPr>
                    <w:rPr>
                      <w:rFonts w:ascii="Arial" w:hAnsi="Arial" w:cs="Arial"/>
                      <w:sz w:val="20"/>
                      <w:szCs w:val="20"/>
                    </w:rPr>
                  </w:pPr>
                  <w:r w:rsidRPr="007F55C3">
                    <w:rPr>
                      <w:rFonts w:ascii="Arial" w:hAnsi="Arial" w:cs="Arial"/>
                      <w:sz w:val="20"/>
                      <w:szCs w:val="20"/>
                    </w:rPr>
                    <w:fldChar w:fldCharType="begin">
                      <w:ffData>
                        <w:name w:val="Kontrollkästchen1"/>
                        <w:enabled/>
                        <w:calcOnExit w:val="0"/>
                        <w:checkBox>
                          <w:sizeAuto/>
                          <w:default w:val="0"/>
                        </w:checkBox>
                      </w:ffData>
                    </w:fldChar>
                  </w:r>
                  <w:r w:rsidRPr="007F55C3">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F55C3">
                    <w:rPr>
                      <w:rFonts w:ascii="Arial" w:hAnsi="Arial" w:cs="Arial"/>
                      <w:sz w:val="20"/>
                      <w:szCs w:val="20"/>
                    </w:rPr>
                    <w:fldChar w:fldCharType="end"/>
                  </w:r>
                </w:p>
              </w:tc>
              <w:tc>
                <w:tcPr>
                  <w:tcW w:w="1971" w:type="dxa"/>
                  <w:shd w:val="pct10" w:color="auto" w:fill="auto"/>
                  <w:vAlign w:val="center"/>
                </w:tcPr>
                <w:p w:rsidR="008564ED" w:rsidRPr="007F55C3" w:rsidRDefault="008564ED" w:rsidP="008564ED">
                  <w:pPr>
                    <w:rPr>
                      <w:rFonts w:ascii="Arial" w:hAnsi="Arial" w:cs="Arial"/>
                      <w:sz w:val="20"/>
                      <w:szCs w:val="20"/>
                    </w:rPr>
                  </w:pPr>
                  <w:r w:rsidRPr="007F55C3">
                    <w:rPr>
                      <w:rFonts w:ascii="Arial" w:hAnsi="Arial" w:cs="Arial"/>
                      <w:sz w:val="20"/>
                      <w:szCs w:val="20"/>
                    </w:rPr>
                    <w:t>Annahme mit Änderung</w:t>
                  </w:r>
                </w:p>
              </w:tc>
              <w:tc>
                <w:tcPr>
                  <w:tcW w:w="446" w:type="dxa"/>
                  <w:vAlign w:val="center"/>
                </w:tcPr>
                <w:p w:rsidR="008564ED" w:rsidRPr="007F55C3" w:rsidRDefault="008564ED" w:rsidP="008564ED">
                  <w:pPr>
                    <w:rPr>
                      <w:rFonts w:ascii="Arial" w:hAnsi="Arial" w:cs="Arial"/>
                      <w:sz w:val="20"/>
                      <w:szCs w:val="20"/>
                    </w:rPr>
                  </w:pPr>
                  <w:r w:rsidRPr="007F55C3">
                    <w:rPr>
                      <w:rFonts w:ascii="Arial" w:hAnsi="Arial" w:cs="Arial"/>
                      <w:sz w:val="20"/>
                      <w:szCs w:val="20"/>
                    </w:rPr>
                    <w:fldChar w:fldCharType="begin">
                      <w:ffData>
                        <w:name w:val="Kontrollkästchen1"/>
                        <w:enabled/>
                        <w:calcOnExit w:val="0"/>
                        <w:checkBox>
                          <w:sizeAuto/>
                          <w:default w:val="0"/>
                        </w:checkBox>
                      </w:ffData>
                    </w:fldChar>
                  </w:r>
                  <w:r w:rsidRPr="007F55C3">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F55C3">
                    <w:rPr>
                      <w:rFonts w:ascii="Arial" w:hAnsi="Arial" w:cs="Arial"/>
                      <w:sz w:val="20"/>
                      <w:szCs w:val="20"/>
                    </w:rPr>
                    <w:fldChar w:fldCharType="end"/>
                  </w:r>
                </w:p>
              </w:tc>
              <w:tc>
                <w:tcPr>
                  <w:tcW w:w="2525" w:type="dxa"/>
                  <w:shd w:val="pct10" w:color="auto" w:fill="auto"/>
                  <w:vAlign w:val="center"/>
                </w:tcPr>
                <w:p w:rsidR="008564ED" w:rsidRPr="007F55C3" w:rsidRDefault="008564ED" w:rsidP="008564ED">
                  <w:pPr>
                    <w:rPr>
                      <w:rFonts w:ascii="Arial" w:hAnsi="Arial" w:cs="Arial"/>
                      <w:sz w:val="20"/>
                      <w:szCs w:val="20"/>
                    </w:rPr>
                  </w:pPr>
                  <w:r w:rsidRPr="007F55C3">
                    <w:rPr>
                      <w:rFonts w:ascii="Arial" w:hAnsi="Arial" w:cs="Arial"/>
                      <w:sz w:val="20"/>
                      <w:szCs w:val="20"/>
                    </w:rPr>
                    <w:t>Annahme als Arbeitsmaterial</w:t>
                  </w:r>
                </w:p>
              </w:tc>
              <w:tc>
                <w:tcPr>
                  <w:tcW w:w="446" w:type="dxa"/>
                  <w:vAlign w:val="center"/>
                </w:tcPr>
                <w:p w:rsidR="008564ED" w:rsidRPr="007F55C3" w:rsidRDefault="008564ED" w:rsidP="008564ED">
                  <w:pPr>
                    <w:rPr>
                      <w:rFonts w:ascii="Arial" w:hAnsi="Arial" w:cs="Arial"/>
                      <w:sz w:val="20"/>
                      <w:szCs w:val="20"/>
                    </w:rPr>
                  </w:pPr>
                  <w:r w:rsidRPr="007F55C3">
                    <w:rPr>
                      <w:rFonts w:ascii="Arial" w:hAnsi="Arial" w:cs="Arial"/>
                      <w:sz w:val="20"/>
                      <w:szCs w:val="20"/>
                    </w:rPr>
                    <w:fldChar w:fldCharType="begin">
                      <w:ffData>
                        <w:name w:val="Kontrollkästchen1"/>
                        <w:enabled/>
                        <w:calcOnExit w:val="0"/>
                        <w:checkBox>
                          <w:sizeAuto/>
                          <w:default w:val="0"/>
                        </w:checkBox>
                      </w:ffData>
                    </w:fldChar>
                  </w:r>
                  <w:r w:rsidRPr="007F55C3">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F55C3">
                    <w:rPr>
                      <w:rFonts w:ascii="Arial" w:hAnsi="Arial" w:cs="Arial"/>
                      <w:sz w:val="20"/>
                      <w:szCs w:val="20"/>
                    </w:rPr>
                    <w:fldChar w:fldCharType="end"/>
                  </w:r>
                </w:p>
              </w:tc>
              <w:tc>
                <w:tcPr>
                  <w:tcW w:w="1490" w:type="dxa"/>
                  <w:shd w:val="pct10" w:color="auto" w:fill="auto"/>
                  <w:vAlign w:val="center"/>
                </w:tcPr>
                <w:p w:rsidR="008564ED" w:rsidRPr="007F55C3" w:rsidRDefault="008564ED" w:rsidP="008564ED">
                  <w:pPr>
                    <w:rPr>
                      <w:rFonts w:ascii="Arial" w:hAnsi="Arial" w:cs="Arial"/>
                      <w:sz w:val="20"/>
                      <w:szCs w:val="20"/>
                    </w:rPr>
                  </w:pPr>
                  <w:r w:rsidRPr="007F55C3">
                    <w:rPr>
                      <w:rFonts w:ascii="Arial" w:hAnsi="Arial" w:cs="Arial"/>
                      <w:sz w:val="20"/>
                      <w:szCs w:val="20"/>
                    </w:rPr>
                    <w:t>Nichtbehandlung</w:t>
                  </w:r>
                </w:p>
              </w:tc>
              <w:tc>
                <w:tcPr>
                  <w:tcW w:w="446" w:type="dxa"/>
                  <w:vAlign w:val="center"/>
                </w:tcPr>
                <w:p w:rsidR="008564ED" w:rsidRPr="007F55C3" w:rsidRDefault="008564ED" w:rsidP="008564ED">
                  <w:pPr>
                    <w:rPr>
                      <w:rFonts w:ascii="Arial" w:hAnsi="Arial" w:cs="Arial"/>
                      <w:sz w:val="20"/>
                      <w:szCs w:val="20"/>
                    </w:rPr>
                  </w:pPr>
                  <w:r w:rsidRPr="007F55C3">
                    <w:rPr>
                      <w:rFonts w:ascii="Arial" w:hAnsi="Arial" w:cs="Arial"/>
                      <w:sz w:val="20"/>
                      <w:szCs w:val="20"/>
                    </w:rPr>
                    <w:fldChar w:fldCharType="begin">
                      <w:ffData>
                        <w:name w:val="Kontrollkästchen1"/>
                        <w:enabled/>
                        <w:calcOnExit w:val="0"/>
                        <w:checkBox>
                          <w:sizeAuto/>
                          <w:default w:val="0"/>
                        </w:checkBox>
                      </w:ffData>
                    </w:fldChar>
                  </w:r>
                  <w:r w:rsidRPr="007F55C3">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F55C3">
                    <w:rPr>
                      <w:rFonts w:ascii="Arial" w:hAnsi="Arial" w:cs="Arial"/>
                      <w:sz w:val="20"/>
                      <w:szCs w:val="20"/>
                    </w:rPr>
                    <w:fldChar w:fldCharType="end"/>
                  </w:r>
                </w:p>
              </w:tc>
              <w:tc>
                <w:tcPr>
                  <w:tcW w:w="1396" w:type="dxa"/>
                  <w:shd w:val="pct10" w:color="auto" w:fill="auto"/>
                  <w:vAlign w:val="center"/>
                </w:tcPr>
                <w:p w:rsidR="008564ED" w:rsidRPr="007F55C3" w:rsidRDefault="008564ED" w:rsidP="008564ED">
                  <w:pPr>
                    <w:rPr>
                      <w:rFonts w:ascii="Arial" w:hAnsi="Arial" w:cs="Arial"/>
                      <w:sz w:val="20"/>
                      <w:szCs w:val="20"/>
                    </w:rPr>
                  </w:pPr>
                  <w:r w:rsidRPr="007F55C3">
                    <w:rPr>
                      <w:rFonts w:ascii="Arial" w:hAnsi="Arial" w:cs="Arial"/>
                      <w:sz w:val="20"/>
                      <w:szCs w:val="20"/>
                    </w:rPr>
                    <w:t>Ablehnung</w:t>
                  </w:r>
                </w:p>
              </w:tc>
            </w:tr>
          </w:tbl>
          <w:p w:rsidR="005F0109" w:rsidRPr="00E672EB" w:rsidRDefault="005F0109" w:rsidP="000D2F1F">
            <w:pPr>
              <w:jc w:val="both"/>
              <w:rPr>
                <w:rFonts w:ascii="Arial" w:hAnsi="Arial" w:cs="Arial"/>
                <w:sz w:val="20"/>
                <w:szCs w:val="20"/>
              </w:rPr>
            </w:pPr>
          </w:p>
        </w:tc>
      </w:tr>
      <w:tr w:rsidR="005F0109" w:rsidTr="005F0109">
        <w:trPr>
          <w:gridAfter w:val="1"/>
          <w:wAfter w:w="1064" w:type="dxa"/>
        </w:trPr>
        <w:tc>
          <w:tcPr>
            <w:tcW w:w="4196" w:type="dxa"/>
          </w:tcPr>
          <w:p w:rsidR="005F0109" w:rsidRDefault="005F0109" w:rsidP="005F0109">
            <w:pPr>
              <w:pStyle w:val="Kopfzeile"/>
              <w:tabs>
                <w:tab w:val="clear" w:pos="4536"/>
                <w:tab w:val="clear" w:pos="9072"/>
              </w:tabs>
              <w:jc w:val="both"/>
              <w:rPr>
                <w:rFonts w:ascii="Arial" w:hAnsi="Arial" w:cs="Arial"/>
              </w:rPr>
            </w:pPr>
          </w:p>
        </w:tc>
        <w:tc>
          <w:tcPr>
            <w:tcW w:w="542" w:type="dxa"/>
          </w:tcPr>
          <w:p w:rsidR="005F0109" w:rsidRDefault="005F0109" w:rsidP="005F0109">
            <w:pPr>
              <w:rPr>
                <w:rFonts w:ascii="Arial" w:hAnsi="Arial" w:cs="Arial"/>
              </w:rPr>
            </w:pPr>
          </w:p>
        </w:tc>
        <w:tc>
          <w:tcPr>
            <w:tcW w:w="4688" w:type="dxa"/>
          </w:tcPr>
          <w:p w:rsidR="005F0109" w:rsidRDefault="005F0109" w:rsidP="005F0109">
            <w:pPr>
              <w:rPr>
                <w:rFonts w:ascii="Arial" w:hAnsi="Arial" w:cs="Arial"/>
              </w:rPr>
            </w:pPr>
          </w:p>
        </w:tc>
      </w:tr>
    </w:tbl>
    <w:p w:rsidR="006448CC" w:rsidRDefault="006448CC">
      <w:pPr>
        <w:rPr>
          <w:rFonts w:ascii="Arial" w:hAnsi="Arial" w:cs="Arial"/>
          <w:b/>
          <w:bCs/>
          <w:sz w:val="22"/>
          <w:szCs w:val="22"/>
        </w:rPr>
      </w:pPr>
    </w:p>
    <w:sectPr w:rsidR="006448CC" w:rsidSect="00B67A4A">
      <w:headerReference w:type="default" r:id="rId7"/>
      <w:type w:val="continuous"/>
      <w:pgSz w:w="11906" w:h="16838" w:code="9"/>
      <w:pgMar w:top="782" w:right="851" w:bottom="1134" w:left="1985" w:header="28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998" w:rsidRDefault="00C45998">
      <w:r>
        <w:separator/>
      </w:r>
    </w:p>
  </w:endnote>
  <w:endnote w:type="continuationSeparator" w:id="0">
    <w:p w:rsidR="00C45998" w:rsidRDefault="00C4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998" w:rsidRDefault="00C45998">
      <w:r>
        <w:separator/>
      </w:r>
    </w:p>
  </w:footnote>
  <w:footnote w:type="continuationSeparator" w:id="0">
    <w:p w:rsidR="00C45998" w:rsidRDefault="00C45998">
      <w:r>
        <w:continuationSeparator/>
      </w:r>
    </w:p>
  </w:footnote>
  <w:footnote w:id="1">
    <w:p w:rsidR="00E91DFA" w:rsidRPr="00E91DFA" w:rsidRDefault="00E91DFA" w:rsidP="00E91DFA">
      <w:pPr>
        <w:jc w:val="both"/>
        <w:rPr>
          <w:rFonts w:ascii="Arial" w:hAnsi="Arial" w:cs="Arial"/>
          <w:sz w:val="20"/>
          <w:szCs w:val="20"/>
        </w:rPr>
      </w:pPr>
      <w:r w:rsidRPr="00E91DFA">
        <w:rPr>
          <w:rStyle w:val="Funotenzeichen"/>
          <w:rFonts w:ascii="Arial" w:hAnsi="Arial" w:cs="Arial"/>
          <w:sz w:val="20"/>
          <w:szCs w:val="20"/>
        </w:rPr>
        <w:footnoteRef/>
      </w:r>
      <w:r w:rsidRPr="00E91DFA">
        <w:rPr>
          <w:rFonts w:ascii="Arial" w:hAnsi="Arial" w:cs="Arial"/>
          <w:sz w:val="20"/>
          <w:szCs w:val="20"/>
        </w:rPr>
        <w:t xml:space="preserve"> </w:t>
      </w:r>
      <w:r w:rsidRPr="00E91DFA">
        <w:rPr>
          <w:rFonts w:ascii="Arial" w:hAnsi="Arial" w:cs="Arial"/>
          <w:color w:val="222222"/>
          <w:sz w:val="20"/>
          <w:szCs w:val="20"/>
          <w:shd w:val="clear" w:color="auto" w:fill="FFFFFF"/>
        </w:rPr>
        <w:t>Gem. EU-Richtlinie 2008/114/EG: „... eine Anlage, ein System oder ein Teil davon, die von wesentlicher Bedeutung für die Aufrechterhaltung wichtiger gesellschaftlicher Funktionen, der Gesundheit, der Sicherheit und des wirtschaftlichen oder sozialen Wohlergehens der Bevölkerung ist und deren Störung oder Zerstörung erhebliche Auswirkungen hätte, da ihre Funktionen nicht aufrechterhalten werden könnten...“</w:t>
      </w:r>
    </w:p>
    <w:p w:rsidR="00E91DFA" w:rsidRPr="00E91DFA" w:rsidRDefault="00E91DFA" w:rsidP="00E91DFA">
      <w:pPr>
        <w:pStyle w:val="Funotentext"/>
        <w:rPr>
          <w:rFonts w:ascii="Arial" w:hAnsi="Arial" w:cs="Arial"/>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6448CC">
      <w:tc>
        <w:tcPr>
          <w:tcW w:w="9210" w:type="dxa"/>
          <w:tcBorders>
            <w:top w:val="nil"/>
            <w:left w:val="nil"/>
            <w:bottom w:val="single" w:sz="6" w:space="0" w:color="auto"/>
            <w:right w:val="nil"/>
          </w:tcBorders>
        </w:tcPr>
        <w:p w:rsidR="006448CC" w:rsidRDefault="006448CC">
          <w:pPr>
            <w:pStyle w:val="Kopfzeile"/>
            <w:jc w:val="right"/>
            <w:rPr>
              <w:rFonts w:ascii="Arial" w:hAnsi="Arial" w:cs="Arial"/>
              <w:b/>
              <w:bCs/>
              <w:sz w:val="20"/>
              <w:szCs w:val="20"/>
            </w:rPr>
          </w:pPr>
          <w:r>
            <w:rPr>
              <w:rFonts w:ascii="Arial" w:hAnsi="Arial" w:cs="Arial"/>
              <w:b/>
              <w:bCs/>
              <w:sz w:val="20"/>
              <w:szCs w:val="20"/>
            </w:rPr>
            <w:t xml:space="preserve">Seite </w:t>
          </w:r>
          <w:r>
            <w:rPr>
              <w:rFonts w:ascii="Arial" w:hAnsi="Arial" w:cs="Arial"/>
              <w:b/>
              <w:bCs/>
              <w:sz w:val="20"/>
              <w:szCs w:val="20"/>
            </w:rPr>
            <w:fldChar w:fldCharType="begin"/>
          </w:r>
          <w:r>
            <w:rPr>
              <w:rFonts w:ascii="Arial" w:hAnsi="Arial" w:cs="Arial"/>
              <w:b/>
              <w:bCs/>
              <w:sz w:val="20"/>
              <w:szCs w:val="20"/>
            </w:rPr>
            <w:instrText xml:space="preserve"> PAGE  \* MERGEFORMAT </w:instrText>
          </w:r>
          <w:r>
            <w:rPr>
              <w:rFonts w:ascii="Arial" w:hAnsi="Arial" w:cs="Arial"/>
              <w:b/>
              <w:bCs/>
              <w:sz w:val="20"/>
              <w:szCs w:val="20"/>
            </w:rPr>
            <w:fldChar w:fldCharType="separate"/>
          </w:r>
          <w:r w:rsidR="008564ED">
            <w:rPr>
              <w:rFonts w:ascii="Arial" w:hAnsi="Arial" w:cs="Arial"/>
              <w:b/>
              <w:bCs/>
              <w:noProof/>
              <w:sz w:val="20"/>
              <w:szCs w:val="20"/>
            </w:rPr>
            <w:t>2</w:t>
          </w:r>
          <w:r>
            <w:rPr>
              <w:rFonts w:ascii="Arial" w:hAnsi="Arial" w:cs="Arial"/>
              <w:b/>
              <w:bCs/>
              <w:sz w:val="20"/>
              <w:szCs w:val="20"/>
            </w:rPr>
            <w:fldChar w:fldCharType="end"/>
          </w:r>
        </w:p>
      </w:tc>
    </w:tr>
  </w:tbl>
  <w:p w:rsidR="006448CC" w:rsidRDefault="006448CC">
    <w:pPr>
      <w:pStyle w:val="Kopfzeile"/>
      <w:rPr>
        <w:rFonts w:ascii="Arial" w:hAnsi="Arial" w:cs="Arial"/>
        <w:b/>
        <w:bCs/>
        <w:sz w:val="20"/>
        <w:szCs w:val="20"/>
      </w:rPr>
    </w:pPr>
  </w:p>
  <w:p w:rsidR="006448CC" w:rsidRDefault="006448CC">
    <w:pPr>
      <w:pStyle w:val="Kopfzeile"/>
      <w:jc w:val="right"/>
      <w:rPr>
        <w:rFonts w:ascii="Arial" w:hAnsi="Arial" w:cs="Arial"/>
        <w:b/>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E21194"/>
    <w:multiLevelType w:val="hybridMultilevel"/>
    <w:tmpl w:val="F24E5D76"/>
    <w:lvl w:ilvl="0" w:tplc="AF9C9E9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autoHyphenation/>
  <w:hyphenationZone w:val="142"/>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37A"/>
    <w:rsid w:val="00033D97"/>
    <w:rsid w:val="00044F9C"/>
    <w:rsid w:val="00084ED8"/>
    <w:rsid w:val="000D2F1F"/>
    <w:rsid w:val="00124049"/>
    <w:rsid w:val="00127054"/>
    <w:rsid w:val="00150511"/>
    <w:rsid w:val="00153E3E"/>
    <w:rsid w:val="00191C9A"/>
    <w:rsid w:val="001927A1"/>
    <w:rsid w:val="001B17BB"/>
    <w:rsid w:val="001C035F"/>
    <w:rsid w:val="001C341C"/>
    <w:rsid w:val="002119C3"/>
    <w:rsid w:val="00215D22"/>
    <w:rsid w:val="0021652F"/>
    <w:rsid w:val="00253460"/>
    <w:rsid w:val="00260C52"/>
    <w:rsid w:val="0026732C"/>
    <w:rsid w:val="002A07AA"/>
    <w:rsid w:val="002B2525"/>
    <w:rsid w:val="002B4F6D"/>
    <w:rsid w:val="002D4E3E"/>
    <w:rsid w:val="002D67E1"/>
    <w:rsid w:val="002E1183"/>
    <w:rsid w:val="0031650D"/>
    <w:rsid w:val="003279FF"/>
    <w:rsid w:val="0037446E"/>
    <w:rsid w:val="003749DD"/>
    <w:rsid w:val="003859BE"/>
    <w:rsid w:val="003A094E"/>
    <w:rsid w:val="003B5617"/>
    <w:rsid w:val="0043241B"/>
    <w:rsid w:val="00464F58"/>
    <w:rsid w:val="004B3B54"/>
    <w:rsid w:val="00500229"/>
    <w:rsid w:val="005127E5"/>
    <w:rsid w:val="00523D10"/>
    <w:rsid w:val="0053044B"/>
    <w:rsid w:val="0054650E"/>
    <w:rsid w:val="00573483"/>
    <w:rsid w:val="00574B16"/>
    <w:rsid w:val="005F0109"/>
    <w:rsid w:val="005F0CE6"/>
    <w:rsid w:val="00606147"/>
    <w:rsid w:val="006235EC"/>
    <w:rsid w:val="006448CC"/>
    <w:rsid w:val="006504B4"/>
    <w:rsid w:val="00686F32"/>
    <w:rsid w:val="006963A6"/>
    <w:rsid w:val="0069777E"/>
    <w:rsid w:val="006C7BAF"/>
    <w:rsid w:val="00701FEE"/>
    <w:rsid w:val="007341CE"/>
    <w:rsid w:val="0076321E"/>
    <w:rsid w:val="00763536"/>
    <w:rsid w:val="00782588"/>
    <w:rsid w:val="007A6BCE"/>
    <w:rsid w:val="007D48D4"/>
    <w:rsid w:val="007D60E3"/>
    <w:rsid w:val="007D617D"/>
    <w:rsid w:val="007F1D77"/>
    <w:rsid w:val="007F55C3"/>
    <w:rsid w:val="00813DA4"/>
    <w:rsid w:val="0082001B"/>
    <w:rsid w:val="00827AAE"/>
    <w:rsid w:val="008564ED"/>
    <w:rsid w:val="008956DA"/>
    <w:rsid w:val="008A4996"/>
    <w:rsid w:val="008D3099"/>
    <w:rsid w:val="008D72A5"/>
    <w:rsid w:val="008E3847"/>
    <w:rsid w:val="0093051B"/>
    <w:rsid w:val="00956E31"/>
    <w:rsid w:val="009706EF"/>
    <w:rsid w:val="009B4D81"/>
    <w:rsid w:val="00A22BCA"/>
    <w:rsid w:val="00A357DF"/>
    <w:rsid w:val="00A54C5B"/>
    <w:rsid w:val="00A71566"/>
    <w:rsid w:val="00A84FE8"/>
    <w:rsid w:val="00AD6CF4"/>
    <w:rsid w:val="00AE167C"/>
    <w:rsid w:val="00B256EB"/>
    <w:rsid w:val="00B53F2F"/>
    <w:rsid w:val="00B67A4A"/>
    <w:rsid w:val="00B763FA"/>
    <w:rsid w:val="00B76CF0"/>
    <w:rsid w:val="00BC294E"/>
    <w:rsid w:val="00BC3AB2"/>
    <w:rsid w:val="00BC7676"/>
    <w:rsid w:val="00BD2808"/>
    <w:rsid w:val="00BE6692"/>
    <w:rsid w:val="00C162F1"/>
    <w:rsid w:val="00C3198A"/>
    <w:rsid w:val="00C45998"/>
    <w:rsid w:val="00C57897"/>
    <w:rsid w:val="00CB6A63"/>
    <w:rsid w:val="00CF3E13"/>
    <w:rsid w:val="00D5639A"/>
    <w:rsid w:val="00D66357"/>
    <w:rsid w:val="00DA4881"/>
    <w:rsid w:val="00DB5229"/>
    <w:rsid w:val="00DC4262"/>
    <w:rsid w:val="00DE069D"/>
    <w:rsid w:val="00DE537A"/>
    <w:rsid w:val="00E672EB"/>
    <w:rsid w:val="00E77B9A"/>
    <w:rsid w:val="00E91DFA"/>
    <w:rsid w:val="00EC6479"/>
    <w:rsid w:val="00ED0462"/>
    <w:rsid w:val="00EF0E72"/>
    <w:rsid w:val="00F17409"/>
    <w:rsid w:val="00F22F92"/>
    <w:rsid w:val="00F31792"/>
    <w:rsid w:val="00F34B3A"/>
    <w:rsid w:val="00FC0C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8E43FC5-2191-4D78-906F-F878039D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D4E3E"/>
    <w:rPr>
      <w:sz w:val="24"/>
      <w:szCs w:val="24"/>
    </w:rPr>
  </w:style>
  <w:style w:type="paragraph" w:styleId="berschrift1">
    <w:name w:val="heading 1"/>
    <w:basedOn w:val="Standard"/>
    <w:next w:val="Standard"/>
    <w:link w:val="berschrift1Zchn"/>
    <w:uiPriority w:val="99"/>
    <w:qFormat/>
    <w:rsid w:val="002D4E3E"/>
    <w:pPr>
      <w:keepNext/>
      <w:outlineLvl w:val="0"/>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E6692"/>
    <w:rPr>
      <w:rFonts w:ascii="Cambria" w:hAnsi="Cambria" w:cs="Cambria"/>
      <w:b/>
      <w:bCs/>
      <w:kern w:val="32"/>
      <w:sz w:val="32"/>
      <w:szCs w:val="32"/>
    </w:rPr>
  </w:style>
  <w:style w:type="paragraph" w:styleId="Kopfzeile">
    <w:name w:val="header"/>
    <w:basedOn w:val="Standard"/>
    <w:link w:val="KopfzeileZchn"/>
    <w:uiPriority w:val="99"/>
    <w:rsid w:val="002D4E3E"/>
    <w:pPr>
      <w:tabs>
        <w:tab w:val="center" w:pos="4536"/>
        <w:tab w:val="right" w:pos="9072"/>
      </w:tabs>
    </w:pPr>
  </w:style>
  <w:style w:type="character" w:customStyle="1" w:styleId="KopfzeileZchn">
    <w:name w:val="Kopfzeile Zchn"/>
    <w:basedOn w:val="Absatz-Standardschriftart"/>
    <w:link w:val="Kopfzeile"/>
    <w:uiPriority w:val="99"/>
    <w:semiHidden/>
    <w:locked/>
    <w:rsid w:val="00BE6692"/>
    <w:rPr>
      <w:sz w:val="24"/>
      <w:szCs w:val="24"/>
    </w:rPr>
  </w:style>
  <w:style w:type="paragraph" w:styleId="Fuzeile">
    <w:name w:val="footer"/>
    <w:basedOn w:val="Standard"/>
    <w:link w:val="FuzeileZchn"/>
    <w:uiPriority w:val="99"/>
    <w:rsid w:val="002D4E3E"/>
    <w:pPr>
      <w:tabs>
        <w:tab w:val="center" w:pos="4536"/>
        <w:tab w:val="right" w:pos="9072"/>
      </w:tabs>
    </w:pPr>
  </w:style>
  <w:style w:type="character" w:customStyle="1" w:styleId="FuzeileZchn">
    <w:name w:val="Fußzeile Zchn"/>
    <w:basedOn w:val="Absatz-Standardschriftart"/>
    <w:link w:val="Fuzeile"/>
    <w:uiPriority w:val="99"/>
    <w:semiHidden/>
    <w:locked/>
    <w:rsid w:val="00BE6692"/>
    <w:rPr>
      <w:sz w:val="24"/>
      <w:szCs w:val="24"/>
    </w:rPr>
  </w:style>
  <w:style w:type="paragraph" w:styleId="Sprechblasentext">
    <w:name w:val="Balloon Text"/>
    <w:basedOn w:val="Standard"/>
    <w:link w:val="SprechblasentextZchn"/>
    <w:uiPriority w:val="99"/>
    <w:semiHidden/>
    <w:rsid w:val="007D48D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BE6692"/>
    <w:rPr>
      <w:sz w:val="2"/>
      <w:szCs w:val="2"/>
    </w:rPr>
  </w:style>
  <w:style w:type="table" w:styleId="Tabellenraster">
    <w:name w:val="Table Grid"/>
    <w:basedOn w:val="NormaleTabelle"/>
    <w:uiPriority w:val="99"/>
    <w:rsid w:val="007F55C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E91DFA"/>
    <w:pPr>
      <w:spacing w:after="160" w:line="259" w:lineRule="auto"/>
      <w:ind w:left="720"/>
      <w:contextualSpacing/>
    </w:pPr>
    <w:rPr>
      <w:rFonts w:asciiTheme="minorHAnsi" w:eastAsiaTheme="minorHAnsi" w:hAnsiTheme="minorHAnsi" w:cstheme="minorBidi"/>
      <w:sz w:val="22"/>
      <w:szCs w:val="22"/>
      <w:lang w:eastAsia="en-US"/>
    </w:rPr>
  </w:style>
  <w:style w:type="paragraph" w:styleId="Funotentext">
    <w:name w:val="footnote text"/>
    <w:basedOn w:val="Standard"/>
    <w:link w:val="FunotentextZchn"/>
    <w:uiPriority w:val="99"/>
    <w:unhideWhenUsed/>
    <w:rsid w:val="00E91DFA"/>
    <w:rPr>
      <w:rFonts w:asciiTheme="minorHAnsi" w:eastAsiaTheme="minorHAnsi" w:hAnsiTheme="minorHAnsi" w:cstheme="minorBidi"/>
      <w:lang w:eastAsia="en-US"/>
    </w:rPr>
  </w:style>
  <w:style w:type="character" w:customStyle="1" w:styleId="FunotentextZchn">
    <w:name w:val="Fußnotentext Zchn"/>
    <w:basedOn w:val="Absatz-Standardschriftart"/>
    <w:link w:val="Funotentext"/>
    <w:uiPriority w:val="99"/>
    <w:rsid w:val="00E91DFA"/>
    <w:rPr>
      <w:rFonts w:asciiTheme="minorHAnsi" w:eastAsiaTheme="minorHAnsi" w:hAnsiTheme="minorHAnsi" w:cstheme="minorBidi"/>
      <w:sz w:val="24"/>
      <w:szCs w:val="24"/>
      <w:lang w:eastAsia="en-US"/>
    </w:rPr>
  </w:style>
  <w:style w:type="character" w:styleId="Funotenzeichen">
    <w:name w:val="footnote reference"/>
    <w:basedOn w:val="Absatz-Standardschriftart"/>
    <w:uiPriority w:val="99"/>
    <w:unhideWhenUsed/>
    <w:rsid w:val="00E91D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867</Words>
  <Characters>5463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Antragsformular für Bundesfrauenkonferenz</vt:lpstr>
    </vt:vector>
  </TitlesOfParts>
  <Company>GdP</Company>
  <LinksUpToDate>false</LinksUpToDate>
  <CharactersWithSpaces>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Antragsformular für Bundesfrauenkonferenz</dc:title>
  <dc:subject/>
  <dc:creator>Ruth Brunner</dc:creator>
  <cp:keywords/>
  <dc:description/>
  <cp:lastModifiedBy>admin</cp:lastModifiedBy>
  <cp:revision>8</cp:revision>
  <cp:lastPrinted>2018-03-08T13:58:00Z</cp:lastPrinted>
  <dcterms:created xsi:type="dcterms:W3CDTF">2018-03-08T13:56:00Z</dcterms:created>
  <dcterms:modified xsi:type="dcterms:W3CDTF">2018-03-09T13:34:00Z</dcterms:modified>
</cp:coreProperties>
</file>