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496" w:type="dxa"/>
        <w:tblInd w:w="-68" w:type="dxa"/>
        <w:tblLayout w:type="fixed"/>
        <w:tblCellMar>
          <w:left w:w="70" w:type="dxa"/>
          <w:right w:w="70" w:type="dxa"/>
        </w:tblCellMar>
        <w:tblLook w:val="0000" w:firstRow="0" w:lastRow="0" w:firstColumn="0" w:lastColumn="0" w:noHBand="0" w:noVBand="0"/>
      </w:tblPr>
      <w:tblGrid>
        <w:gridCol w:w="2338"/>
        <w:gridCol w:w="6872"/>
        <w:gridCol w:w="3286"/>
      </w:tblGrid>
      <w:tr w:rsidR="006448CC" w:rsidTr="00BD1D4C">
        <w:trPr>
          <w:cantSplit/>
          <w:trHeight w:val="826"/>
        </w:trPr>
        <w:tc>
          <w:tcPr>
            <w:tcW w:w="2338" w:type="dxa"/>
          </w:tcPr>
          <w:p w:rsidR="006448CC" w:rsidRDefault="006448CC">
            <w:pPr>
              <w:pStyle w:val="berschrift1"/>
              <w:rPr>
                <w:sz w:val="32"/>
                <w:szCs w:val="32"/>
              </w:rPr>
            </w:pPr>
            <w:r>
              <w:rPr>
                <w:sz w:val="32"/>
                <w:szCs w:val="32"/>
              </w:rPr>
              <w:t>Antrag</w:t>
            </w:r>
          </w:p>
        </w:tc>
        <w:tc>
          <w:tcPr>
            <w:tcW w:w="6872" w:type="dxa"/>
          </w:tcPr>
          <w:p w:rsidR="006448CC" w:rsidRDefault="009B0296">
            <w:pPr>
              <w:rPr>
                <w:rFonts w:ascii="Arial" w:hAnsi="Arial" w:cs="Arial"/>
                <w:b/>
                <w:bCs/>
                <w:sz w:val="32"/>
                <w:szCs w:val="32"/>
              </w:rPr>
            </w:pPr>
            <w:r>
              <w:rPr>
                <w:rFonts w:ascii="Arial" w:hAnsi="Arial" w:cs="Arial"/>
                <w:b/>
                <w:bCs/>
                <w:sz w:val="32"/>
                <w:szCs w:val="32"/>
              </w:rPr>
              <w:t>B 04</w:t>
            </w:r>
          </w:p>
        </w:tc>
        <w:tc>
          <w:tcPr>
            <w:tcW w:w="3286" w:type="dxa"/>
            <w:vMerge w:val="restart"/>
          </w:tcPr>
          <w:p w:rsidR="006448CC" w:rsidRDefault="006448CC" w:rsidP="00A84FE8">
            <w:pPr>
              <w:pStyle w:val="Kopfzeile"/>
              <w:tabs>
                <w:tab w:val="clear" w:pos="4536"/>
                <w:tab w:val="clear" w:pos="9072"/>
              </w:tabs>
              <w:jc w:val="center"/>
              <w:rPr>
                <w:rFonts w:ascii="Arial" w:hAnsi="Arial" w:cs="Arial"/>
              </w:rPr>
            </w:pPr>
          </w:p>
        </w:tc>
      </w:tr>
      <w:tr w:rsidR="006448CC" w:rsidTr="00BD1D4C">
        <w:trPr>
          <w:cantSplit/>
          <w:trHeight w:val="827"/>
        </w:trPr>
        <w:tc>
          <w:tcPr>
            <w:tcW w:w="2338" w:type="dxa"/>
          </w:tcPr>
          <w:p w:rsidR="006448CC" w:rsidRDefault="006448CC" w:rsidP="00851728">
            <w:pPr>
              <w:rPr>
                <w:rFonts w:ascii="Arial" w:hAnsi="Arial" w:cs="Arial"/>
                <w:b/>
                <w:bCs/>
                <w:sz w:val="26"/>
                <w:szCs w:val="26"/>
              </w:rPr>
            </w:pPr>
            <w:r>
              <w:rPr>
                <w:rFonts w:ascii="Arial" w:hAnsi="Arial" w:cs="Arial"/>
                <w:b/>
                <w:bCs/>
                <w:sz w:val="26"/>
                <w:szCs w:val="26"/>
              </w:rPr>
              <w:t>Antragsteller:</w:t>
            </w:r>
            <w:r w:rsidR="00BA2129">
              <w:rPr>
                <w:rFonts w:ascii="Arial" w:hAnsi="Arial" w:cs="Arial"/>
                <w:b/>
                <w:bCs/>
                <w:sz w:val="26"/>
                <w:szCs w:val="26"/>
              </w:rPr>
              <w:t xml:space="preserve"> </w:t>
            </w:r>
          </w:p>
        </w:tc>
        <w:tc>
          <w:tcPr>
            <w:tcW w:w="6872" w:type="dxa"/>
          </w:tcPr>
          <w:p w:rsidR="006448CC" w:rsidRDefault="00BA2129">
            <w:pPr>
              <w:pStyle w:val="Kopfzeile"/>
              <w:tabs>
                <w:tab w:val="clear" w:pos="4536"/>
                <w:tab w:val="clear" w:pos="9072"/>
              </w:tabs>
              <w:rPr>
                <w:rFonts w:ascii="Arial" w:hAnsi="Arial" w:cs="Arial"/>
                <w:b/>
                <w:bCs/>
              </w:rPr>
            </w:pPr>
            <w:r>
              <w:rPr>
                <w:rFonts w:ascii="Arial" w:hAnsi="Arial" w:cs="Arial"/>
                <w:b/>
                <w:bCs/>
                <w:sz w:val="26"/>
                <w:szCs w:val="26"/>
              </w:rPr>
              <w:t xml:space="preserve">Kreisgruppe </w:t>
            </w:r>
            <w:r w:rsidR="00253FDC">
              <w:rPr>
                <w:rFonts w:ascii="Arial" w:hAnsi="Arial" w:cs="Arial"/>
                <w:b/>
                <w:bCs/>
                <w:sz w:val="26"/>
                <w:szCs w:val="26"/>
              </w:rPr>
              <w:t xml:space="preserve">BKA </w:t>
            </w:r>
            <w:r w:rsidR="00851728">
              <w:rPr>
                <w:rFonts w:ascii="Arial" w:hAnsi="Arial" w:cs="Arial"/>
                <w:b/>
                <w:bCs/>
                <w:sz w:val="26"/>
                <w:szCs w:val="26"/>
              </w:rPr>
              <w:t>Meckenheim</w:t>
            </w:r>
          </w:p>
        </w:tc>
        <w:tc>
          <w:tcPr>
            <w:tcW w:w="3286" w:type="dxa"/>
            <w:vMerge/>
          </w:tcPr>
          <w:p w:rsidR="006448CC" w:rsidRDefault="006448CC">
            <w:pPr>
              <w:pStyle w:val="Kopfzeile"/>
              <w:tabs>
                <w:tab w:val="clear" w:pos="4536"/>
                <w:tab w:val="clear" w:pos="9072"/>
              </w:tabs>
              <w:rPr>
                <w:rFonts w:ascii="Arial" w:hAnsi="Arial" w:cs="Arial"/>
              </w:rPr>
            </w:pPr>
          </w:p>
        </w:tc>
      </w:tr>
      <w:tr w:rsidR="006448CC" w:rsidTr="00BD1D4C">
        <w:trPr>
          <w:cantSplit/>
          <w:trHeight w:val="827"/>
        </w:trPr>
        <w:tc>
          <w:tcPr>
            <w:tcW w:w="2338" w:type="dxa"/>
          </w:tcPr>
          <w:p w:rsidR="006448CC" w:rsidRDefault="006448CC">
            <w:pPr>
              <w:rPr>
                <w:rFonts w:ascii="Arial" w:hAnsi="Arial" w:cs="Arial"/>
                <w:b/>
                <w:bCs/>
                <w:sz w:val="26"/>
                <w:szCs w:val="26"/>
              </w:rPr>
            </w:pPr>
            <w:r>
              <w:rPr>
                <w:rFonts w:ascii="Arial" w:hAnsi="Arial" w:cs="Arial"/>
                <w:b/>
                <w:bCs/>
                <w:sz w:val="26"/>
                <w:szCs w:val="26"/>
              </w:rPr>
              <w:t>Betrifft:</w:t>
            </w:r>
          </w:p>
        </w:tc>
        <w:tc>
          <w:tcPr>
            <w:tcW w:w="6872" w:type="dxa"/>
          </w:tcPr>
          <w:p w:rsidR="00851728" w:rsidRDefault="009E6CBB" w:rsidP="00190C95">
            <w:pPr>
              <w:rPr>
                <w:rFonts w:ascii="Arial" w:hAnsi="Arial" w:cs="Arial"/>
                <w:b/>
                <w:bCs/>
              </w:rPr>
            </w:pPr>
            <w:r>
              <w:rPr>
                <w:rFonts w:ascii="Arial" w:hAnsi="Arial" w:cs="Arial"/>
                <w:b/>
                <w:bCs/>
              </w:rPr>
              <w:t>Einführung einer behörden- und länderübergreifenden intelligenten Personalentwicklung</w:t>
            </w:r>
            <w:r w:rsidR="00190C95">
              <w:rPr>
                <w:rFonts w:ascii="Arial" w:hAnsi="Arial" w:cs="Arial"/>
                <w:b/>
                <w:bCs/>
              </w:rPr>
              <w:t>,</w:t>
            </w:r>
            <w:r>
              <w:rPr>
                <w:rFonts w:ascii="Arial" w:hAnsi="Arial" w:cs="Arial"/>
                <w:b/>
                <w:bCs/>
              </w:rPr>
              <w:t xml:space="preserve"> die den Wechsel von Personal ermöglicht und Karrieren fördert</w:t>
            </w:r>
            <w:r w:rsidR="00427621">
              <w:rPr>
                <w:rFonts w:ascii="Arial" w:hAnsi="Arial" w:cs="Arial"/>
                <w:b/>
                <w:bCs/>
              </w:rPr>
              <w:t xml:space="preserve"> </w:t>
            </w:r>
            <w:r w:rsidR="00190C95">
              <w:rPr>
                <w:rFonts w:ascii="Arial" w:hAnsi="Arial" w:cs="Arial"/>
                <w:b/>
                <w:bCs/>
              </w:rPr>
              <w:t>sowie</w:t>
            </w:r>
            <w:r w:rsidR="00427621">
              <w:rPr>
                <w:rFonts w:ascii="Arial" w:hAnsi="Arial" w:cs="Arial"/>
                <w:b/>
                <w:bCs/>
              </w:rPr>
              <w:t xml:space="preserve"> die entsprechende behördenübergreifende Anwendung der Förderung der Vereinbarkeit von Familie und Beruf.</w:t>
            </w:r>
          </w:p>
        </w:tc>
        <w:tc>
          <w:tcPr>
            <w:tcW w:w="3286" w:type="dxa"/>
            <w:vMerge/>
          </w:tcPr>
          <w:p w:rsidR="006448CC" w:rsidRDefault="006448CC">
            <w:pPr>
              <w:pStyle w:val="Kopfzeile"/>
              <w:tabs>
                <w:tab w:val="clear" w:pos="4536"/>
                <w:tab w:val="clear" w:pos="9072"/>
              </w:tabs>
              <w:rPr>
                <w:rFonts w:ascii="Arial" w:hAnsi="Arial" w:cs="Arial"/>
                <w:b/>
                <w:bCs/>
              </w:rPr>
            </w:pPr>
          </w:p>
        </w:tc>
      </w:tr>
    </w:tbl>
    <w:p w:rsidR="006448CC" w:rsidRDefault="006448CC">
      <w:pPr>
        <w:rPr>
          <w:rFonts w:ascii="Arial" w:hAnsi="Arial" w:cs="Arial"/>
        </w:rPr>
      </w:pPr>
    </w:p>
    <w:p w:rsidR="006448CC" w:rsidRDefault="006448CC">
      <w:pPr>
        <w:rPr>
          <w:rFonts w:ascii="Arial" w:hAnsi="Arial" w:cs="Arial"/>
        </w:rPr>
      </w:pPr>
    </w:p>
    <w:tbl>
      <w:tblPr>
        <w:tblW w:w="9426" w:type="dxa"/>
        <w:tblInd w:w="-68" w:type="dxa"/>
        <w:tblLayout w:type="fixed"/>
        <w:tblCellMar>
          <w:left w:w="70" w:type="dxa"/>
          <w:right w:w="70" w:type="dxa"/>
        </w:tblCellMar>
        <w:tblLook w:val="0000" w:firstRow="0" w:lastRow="0" w:firstColumn="0" w:lastColumn="0" w:noHBand="0" w:noVBand="0"/>
      </w:tblPr>
      <w:tblGrid>
        <w:gridCol w:w="4196"/>
        <w:gridCol w:w="542"/>
        <w:gridCol w:w="4688"/>
      </w:tblGrid>
      <w:tr w:rsidR="006448CC">
        <w:trPr>
          <w:cantSplit/>
          <w:trHeight w:val="508"/>
        </w:trPr>
        <w:tc>
          <w:tcPr>
            <w:tcW w:w="9426" w:type="dxa"/>
            <w:gridSpan w:val="3"/>
            <w:shd w:val="clear" w:color="auto" w:fill="E6E6E6"/>
          </w:tcPr>
          <w:p w:rsidR="006448CC" w:rsidRDefault="006448CC" w:rsidP="006963A6">
            <w:pPr>
              <w:rPr>
                <w:rFonts w:ascii="Arial" w:hAnsi="Arial" w:cs="Arial"/>
              </w:rPr>
            </w:pPr>
            <w:r>
              <w:rPr>
                <w:rFonts w:ascii="Arial" w:hAnsi="Arial" w:cs="Arial"/>
                <w:i/>
                <w:iCs/>
              </w:rPr>
              <w:t>Der 1</w:t>
            </w:r>
            <w:r w:rsidR="006963A6">
              <w:rPr>
                <w:rFonts w:ascii="Arial" w:hAnsi="Arial" w:cs="Arial"/>
                <w:i/>
                <w:iCs/>
              </w:rPr>
              <w:t>7</w:t>
            </w:r>
            <w:r>
              <w:rPr>
                <w:rFonts w:ascii="Arial" w:hAnsi="Arial" w:cs="Arial"/>
                <w:i/>
                <w:iCs/>
              </w:rPr>
              <w:t xml:space="preserve">. Ordentliche Delegiertentag der </w:t>
            </w:r>
            <w:r w:rsidRPr="00686F32">
              <w:rPr>
                <w:rFonts w:ascii="Arial" w:hAnsi="Arial" w:cs="Arial"/>
                <w:i/>
                <w:iCs/>
              </w:rPr>
              <w:t>G</w:t>
            </w:r>
            <w:r>
              <w:rPr>
                <w:rFonts w:ascii="Arial" w:hAnsi="Arial" w:cs="Arial"/>
                <w:i/>
                <w:iCs/>
              </w:rPr>
              <w:t xml:space="preserve">dP Bezirk BKA </w:t>
            </w:r>
            <w:r w:rsidRPr="00686F32">
              <w:rPr>
                <w:rFonts w:ascii="Arial" w:hAnsi="Arial" w:cs="Arial"/>
                <w:i/>
                <w:iCs/>
              </w:rPr>
              <w:t xml:space="preserve"> möge beschließen</w:t>
            </w:r>
            <w:r>
              <w:rPr>
                <w:rFonts w:ascii="Arial" w:hAnsi="Arial" w:cs="Arial"/>
                <w:i/>
                <w:iCs/>
              </w:rPr>
              <w:t>:</w:t>
            </w:r>
          </w:p>
        </w:tc>
      </w:tr>
      <w:tr w:rsidR="006448CC">
        <w:trPr>
          <w:trHeight w:val="455"/>
        </w:trPr>
        <w:tc>
          <w:tcPr>
            <w:tcW w:w="4196" w:type="dxa"/>
          </w:tcPr>
          <w:p w:rsidR="006448CC" w:rsidRPr="00686F32" w:rsidRDefault="006448CC">
            <w:pPr>
              <w:rPr>
                <w:rFonts w:ascii="Arial" w:hAnsi="Arial" w:cs="Arial"/>
                <w:i/>
                <w:iCs/>
              </w:rPr>
            </w:pPr>
          </w:p>
        </w:tc>
        <w:tc>
          <w:tcPr>
            <w:tcW w:w="542" w:type="dxa"/>
          </w:tcPr>
          <w:p w:rsidR="006448CC" w:rsidRDefault="006448CC">
            <w:pPr>
              <w:rPr>
                <w:rFonts w:ascii="Arial" w:hAnsi="Arial" w:cs="Arial"/>
              </w:rPr>
            </w:pPr>
          </w:p>
        </w:tc>
        <w:tc>
          <w:tcPr>
            <w:tcW w:w="4688" w:type="dxa"/>
          </w:tcPr>
          <w:p w:rsidR="006448CC" w:rsidRDefault="006448CC">
            <w:pPr>
              <w:rPr>
                <w:rFonts w:ascii="Arial" w:hAnsi="Arial" w:cs="Arial"/>
              </w:rPr>
            </w:pPr>
          </w:p>
        </w:tc>
      </w:tr>
      <w:tr w:rsidR="006448CC" w:rsidRPr="007D48D4" w:rsidTr="00BD1D4C">
        <w:trPr>
          <w:cantSplit/>
          <w:trHeight w:hRule="exact" w:val="2692"/>
        </w:trPr>
        <w:tc>
          <w:tcPr>
            <w:tcW w:w="9426" w:type="dxa"/>
            <w:gridSpan w:val="3"/>
            <w:vAlign w:val="center"/>
          </w:tcPr>
          <w:p w:rsidR="009B0296" w:rsidRPr="009B0296" w:rsidRDefault="009B0296" w:rsidP="009B0296">
            <w:pPr>
              <w:jc w:val="both"/>
              <w:rPr>
                <w:rFonts w:ascii="Arial" w:hAnsi="Arial" w:cs="Arial"/>
                <w:iCs/>
              </w:rPr>
            </w:pPr>
            <w:r w:rsidRPr="009B0296">
              <w:rPr>
                <w:rFonts w:ascii="Arial" w:hAnsi="Arial" w:cs="Arial"/>
                <w:iCs/>
              </w:rPr>
              <w:t>Der Bezirksvorstand möge sich dafür einsetzen, dass behördenübergreifende Karrieren als Ausdruck zeitgemäßer und intelligenter Personalentwicklung in den deutschen Sicherheitsbehörden gefördert und ein flexibleres Personalmanagement eingeführt wird. Dabei soll auch die bislang nur behördenimmanent angewandte Vereinbarkeit von Familie und Beruf eine behördenübergreifende Wirkung erlangen.</w:t>
            </w:r>
          </w:p>
          <w:p w:rsidR="006448CC" w:rsidRPr="007D48D4" w:rsidRDefault="006448CC" w:rsidP="0055071C">
            <w:pPr>
              <w:jc w:val="both"/>
              <w:rPr>
                <w:rFonts w:ascii="Arial" w:hAnsi="Arial" w:cs="Arial"/>
              </w:rPr>
            </w:pPr>
          </w:p>
        </w:tc>
      </w:tr>
      <w:tr w:rsidR="006448CC">
        <w:trPr>
          <w:trHeight w:val="1557"/>
        </w:trPr>
        <w:tc>
          <w:tcPr>
            <w:tcW w:w="9426" w:type="dxa"/>
            <w:gridSpan w:val="3"/>
          </w:tcPr>
          <w:p w:rsidR="006448CC" w:rsidRDefault="006448CC">
            <w:pPr>
              <w:rPr>
                <w:rFonts w:ascii="Arial" w:hAnsi="Arial" w:cs="Arial"/>
                <w:b/>
                <w:bCs/>
                <w:sz w:val="20"/>
                <w:szCs w:val="20"/>
                <w:u w:val="single"/>
              </w:rPr>
            </w:pPr>
            <w:r w:rsidRPr="003B5617">
              <w:rPr>
                <w:rFonts w:ascii="Arial" w:hAnsi="Arial" w:cs="Arial"/>
                <w:b/>
                <w:bCs/>
                <w:sz w:val="20"/>
                <w:szCs w:val="20"/>
                <w:u w:val="single"/>
              </w:rPr>
              <w:t>Begründung:</w:t>
            </w:r>
          </w:p>
          <w:p w:rsidR="006448CC" w:rsidRPr="003B5617" w:rsidRDefault="006448CC">
            <w:pPr>
              <w:rPr>
                <w:rFonts w:ascii="Arial" w:hAnsi="Arial" w:cs="Arial"/>
                <w:b/>
                <w:bCs/>
                <w:sz w:val="20"/>
                <w:szCs w:val="20"/>
                <w:u w:val="single"/>
              </w:rPr>
            </w:pPr>
          </w:p>
          <w:p w:rsidR="00A94200" w:rsidRPr="009B0296" w:rsidRDefault="00205043" w:rsidP="009E6CBB">
            <w:pPr>
              <w:jc w:val="both"/>
              <w:rPr>
                <w:rFonts w:ascii="Arial" w:hAnsi="Arial" w:cs="Arial"/>
                <w:sz w:val="20"/>
                <w:szCs w:val="20"/>
              </w:rPr>
            </w:pPr>
            <w:r w:rsidRPr="009B0296">
              <w:rPr>
                <w:rFonts w:ascii="Arial" w:hAnsi="Arial" w:cs="Arial"/>
                <w:sz w:val="20"/>
                <w:szCs w:val="20"/>
              </w:rPr>
              <w:t>Die deutschen Sicherheitsbehörden sind mit der Erwartungshaltung konfrontiert, zunehmend vernetzt und professionell</w:t>
            </w:r>
            <w:r w:rsidR="00A94200" w:rsidRPr="009B0296">
              <w:rPr>
                <w:rFonts w:ascii="Arial" w:hAnsi="Arial" w:cs="Arial"/>
                <w:sz w:val="20"/>
                <w:szCs w:val="20"/>
              </w:rPr>
              <w:t xml:space="preserve"> zu arbeiten. Dafür braucht es ein</w:t>
            </w:r>
            <w:r w:rsidR="007D46AC" w:rsidRPr="009B0296">
              <w:rPr>
                <w:rFonts w:ascii="Arial" w:hAnsi="Arial" w:cs="Arial"/>
                <w:sz w:val="20"/>
                <w:szCs w:val="20"/>
              </w:rPr>
              <w:t>e effektive</w:t>
            </w:r>
            <w:r w:rsidR="00A94200" w:rsidRPr="009B0296">
              <w:rPr>
                <w:rFonts w:ascii="Arial" w:hAnsi="Arial" w:cs="Arial"/>
                <w:sz w:val="20"/>
                <w:szCs w:val="20"/>
              </w:rPr>
              <w:t xml:space="preserve"> Arbeitsteilung und Kooperation aller Sicherheitsbehörden. Dem steht aktuell entgegen, dass viele </w:t>
            </w:r>
            <w:r w:rsidR="009E6CBB" w:rsidRPr="009B0296">
              <w:rPr>
                <w:rFonts w:ascii="Arial" w:hAnsi="Arial" w:cs="Arial"/>
                <w:sz w:val="20"/>
                <w:szCs w:val="20"/>
              </w:rPr>
              <w:t xml:space="preserve">Tarifbeschäftigte </w:t>
            </w:r>
            <w:r w:rsidR="00A94200" w:rsidRPr="009B0296">
              <w:rPr>
                <w:rFonts w:ascii="Arial" w:hAnsi="Arial" w:cs="Arial"/>
                <w:sz w:val="20"/>
                <w:szCs w:val="20"/>
              </w:rPr>
              <w:t xml:space="preserve">und Beamte teils ihr ganzes Dienstleben bei einer Behörde verbringen ohne </w:t>
            </w:r>
            <w:r w:rsidR="009E6CBB" w:rsidRPr="009B0296">
              <w:rPr>
                <w:rFonts w:ascii="Arial" w:hAnsi="Arial" w:cs="Arial"/>
                <w:sz w:val="20"/>
                <w:szCs w:val="20"/>
              </w:rPr>
              <w:t>die aktive bzw. institutionalisierte Gelegenheit zu haben</w:t>
            </w:r>
            <w:r w:rsidR="00BD1D4C" w:rsidRPr="009B0296">
              <w:rPr>
                <w:rFonts w:ascii="Arial" w:hAnsi="Arial" w:cs="Arial"/>
                <w:sz w:val="20"/>
                <w:szCs w:val="20"/>
              </w:rPr>
              <w:t>,</w:t>
            </w:r>
            <w:r w:rsidR="009E6CBB" w:rsidRPr="009B0296">
              <w:rPr>
                <w:rFonts w:ascii="Arial" w:hAnsi="Arial" w:cs="Arial"/>
                <w:sz w:val="20"/>
                <w:szCs w:val="20"/>
              </w:rPr>
              <w:t xml:space="preserve"> sich mit</w:t>
            </w:r>
            <w:r w:rsidR="00A94200" w:rsidRPr="009B0296">
              <w:rPr>
                <w:rFonts w:ascii="Arial" w:hAnsi="Arial" w:cs="Arial"/>
                <w:sz w:val="20"/>
                <w:szCs w:val="20"/>
              </w:rPr>
              <w:t xml:space="preserve"> </w:t>
            </w:r>
            <w:r w:rsidR="007D46AC" w:rsidRPr="009B0296">
              <w:rPr>
                <w:rFonts w:ascii="Arial" w:hAnsi="Arial" w:cs="Arial"/>
                <w:sz w:val="20"/>
                <w:szCs w:val="20"/>
              </w:rPr>
              <w:t>Kollegen anderer</w:t>
            </w:r>
            <w:r w:rsidR="00A94200" w:rsidRPr="009B0296">
              <w:rPr>
                <w:rFonts w:ascii="Arial" w:hAnsi="Arial" w:cs="Arial"/>
                <w:sz w:val="20"/>
                <w:szCs w:val="20"/>
              </w:rPr>
              <w:t xml:space="preserve"> Sicherheitsbehörden </w:t>
            </w:r>
            <w:r w:rsidR="007D46AC" w:rsidRPr="009B0296">
              <w:rPr>
                <w:rFonts w:ascii="Arial" w:hAnsi="Arial" w:cs="Arial"/>
                <w:sz w:val="20"/>
                <w:szCs w:val="20"/>
              </w:rPr>
              <w:t xml:space="preserve">zu </w:t>
            </w:r>
            <w:r w:rsidR="00A94200" w:rsidRPr="009B0296">
              <w:rPr>
                <w:rFonts w:ascii="Arial" w:hAnsi="Arial" w:cs="Arial"/>
                <w:sz w:val="20"/>
                <w:szCs w:val="20"/>
              </w:rPr>
              <w:t xml:space="preserve">vernetzen und </w:t>
            </w:r>
            <w:r w:rsidR="00FB41F5" w:rsidRPr="009B0296">
              <w:rPr>
                <w:rFonts w:ascii="Arial" w:hAnsi="Arial" w:cs="Arial"/>
                <w:sz w:val="20"/>
                <w:szCs w:val="20"/>
              </w:rPr>
              <w:t>Expertise teilen</w:t>
            </w:r>
            <w:r w:rsidR="00A94200" w:rsidRPr="009B0296">
              <w:rPr>
                <w:rFonts w:ascii="Arial" w:hAnsi="Arial" w:cs="Arial"/>
                <w:sz w:val="20"/>
                <w:szCs w:val="20"/>
              </w:rPr>
              <w:t xml:space="preserve"> zu können.</w:t>
            </w:r>
            <w:r w:rsidR="00FB41F5" w:rsidRPr="009B0296">
              <w:rPr>
                <w:rFonts w:ascii="Arial" w:hAnsi="Arial" w:cs="Arial"/>
                <w:sz w:val="20"/>
                <w:szCs w:val="20"/>
              </w:rPr>
              <w:t xml:space="preserve"> </w:t>
            </w:r>
          </w:p>
          <w:p w:rsidR="00A94200" w:rsidRPr="009B0296" w:rsidRDefault="00A94200" w:rsidP="00A94200">
            <w:pPr>
              <w:jc w:val="both"/>
              <w:rPr>
                <w:rFonts w:ascii="Arial" w:hAnsi="Arial" w:cs="Arial"/>
                <w:sz w:val="20"/>
                <w:szCs w:val="20"/>
              </w:rPr>
            </w:pPr>
          </w:p>
          <w:p w:rsidR="006448CC" w:rsidRPr="009B0296" w:rsidRDefault="00A94200" w:rsidP="00EC78D6">
            <w:pPr>
              <w:jc w:val="both"/>
              <w:rPr>
                <w:rFonts w:ascii="Arial" w:hAnsi="Arial" w:cs="Arial"/>
                <w:sz w:val="20"/>
                <w:szCs w:val="20"/>
              </w:rPr>
            </w:pPr>
            <w:r w:rsidRPr="009B0296">
              <w:rPr>
                <w:rFonts w:ascii="Arial" w:hAnsi="Arial" w:cs="Arial"/>
                <w:sz w:val="20"/>
                <w:szCs w:val="20"/>
              </w:rPr>
              <w:t xml:space="preserve">Gleichzeitig </w:t>
            </w:r>
            <w:r w:rsidR="007D46AC" w:rsidRPr="009B0296">
              <w:rPr>
                <w:rFonts w:ascii="Arial" w:hAnsi="Arial" w:cs="Arial"/>
                <w:sz w:val="20"/>
                <w:szCs w:val="20"/>
              </w:rPr>
              <w:t xml:space="preserve">gehört es zur gesellschaftlichen Realität, dass immer mehr </w:t>
            </w:r>
            <w:r w:rsidRPr="009B0296">
              <w:rPr>
                <w:rFonts w:ascii="Arial" w:hAnsi="Arial" w:cs="Arial"/>
                <w:sz w:val="20"/>
                <w:szCs w:val="20"/>
              </w:rPr>
              <w:t xml:space="preserve">Beschäftigte </w:t>
            </w:r>
            <w:r w:rsidR="007D46AC" w:rsidRPr="009B0296">
              <w:rPr>
                <w:rFonts w:ascii="Arial" w:hAnsi="Arial" w:cs="Arial"/>
                <w:sz w:val="20"/>
                <w:szCs w:val="20"/>
              </w:rPr>
              <w:t>oder deren Partner/innen aufgrund</w:t>
            </w:r>
            <w:r w:rsidRPr="009B0296">
              <w:rPr>
                <w:rFonts w:ascii="Arial" w:hAnsi="Arial" w:cs="Arial"/>
                <w:sz w:val="20"/>
                <w:szCs w:val="20"/>
              </w:rPr>
              <w:t xml:space="preserve"> </w:t>
            </w:r>
            <w:r w:rsidR="007D46AC" w:rsidRPr="009B0296">
              <w:rPr>
                <w:rFonts w:ascii="Arial" w:hAnsi="Arial" w:cs="Arial"/>
                <w:sz w:val="20"/>
                <w:szCs w:val="20"/>
              </w:rPr>
              <w:t xml:space="preserve">beruflicher, </w:t>
            </w:r>
            <w:r w:rsidRPr="009B0296">
              <w:rPr>
                <w:rFonts w:ascii="Arial" w:hAnsi="Arial" w:cs="Arial"/>
                <w:sz w:val="20"/>
                <w:szCs w:val="20"/>
              </w:rPr>
              <w:t>familiärer</w:t>
            </w:r>
            <w:r w:rsidR="007D46AC" w:rsidRPr="009B0296">
              <w:rPr>
                <w:rFonts w:ascii="Arial" w:hAnsi="Arial" w:cs="Arial"/>
                <w:sz w:val="20"/>
                <w:szCs w:val="20"/>
              </w:rPr>
              <w:t xml:space="preserve"> oder </w:t>
            </w:r>
            <w:r w:rsidRPr="009B0296">
              <w:rPr>
                <w:rFonts w:ascii="Arial" w:hAnsi="Arial" w:cs="Arial"/>
                <w:sz w:val="20"/>
                <w:szCs w:val="20"/>
              </w:rPr>
              <w:t>persönlicher Lebensumstände</w:t>
            </w:r>
            <w:r w:rsidR="007D46AC" w:rsidRPr="009B0296">
              <w:rPr>
                <w:rFonts w:ascii="Arial" w:hAnsi="Arial" w:cs="Arial"/>
                <w:sz w:val="20"/>
                <w:szCs w:val="20"/>
              </w:rPr>
              <w:t xml:space="preserve"> (zeitweise) ihren Lebensmittelpunkt verlegen</w:t>
            </w:r>
            <w:r w:rsidRPr="009B0296">
              <w:rPr>
                <w:rFonts w:ascii="Arial" w:hAnsi="Arial" w:cs="Arial"/>
                <w:sz w:val="20"/>
                <w:szCs w:val="20"/>
              </w:rPr>
              <w:t xml:space="preserve">. </w:t>
            </w:r>
            <w:r w:rsidR="00EC78D6" w:rsidRPr="009B0296">
              <w:rPr>
                <w:rFonts w:ascii="Arial" w:hAnsi="Arial" w:cs="Arial"/>
                <w:sz w:val="20"/>
                <w:szCs w:val="20"/>
              </w:rPr>
              <w:t>Gerade bei der Inanspruchnahme von Flexibilis</w:t>
            </w:r>
            <w:r w:rsidR="00BD1D4C" w:rsidRPr="009B0296">
              <w:rPr>
                <w:rFonts w:ascii="Arial" w:hAnsi="Arial" w:cs="Arial"/>
                <w:sz w:val="20"/>
                <w:szCs w:val="20"/>
              </w:rPr>
              <w:t>i</w:t>
            </w:r>
            <w:r w:rsidR="00EC78D6" w:rsidRPr="009B0296">
              <w:rPr>
                <w:rFonts w:ascii="Arial" w:hAnsi="Arial" w:cs="Arial"/>
                <w:sz w:val="20"/>
                <w:szCs w:val="20"/>
              </w:rPr>
              <w:t>erungsinstrumenten sind diese grundsätzlich behördenbezogen und damit auch an die jeweiligen Dienstorte gebunden und gehen oftmals an den Bedarfen vorbei (Pflege von Angehörigen an anderen als dem Dienstort).</w:t>
            </w:r>
            <w:r w:rsidR="00427621" w:rsidRPr="009B0296">
              <w:rPr>
                <w:rFonts w:ascii="Arial" w:hAnsi="Arial" w:cs="Arial"/>
                <w:sz w:val="20"/>
                <w:szCs w:val="20"/>
              </w:rPr>
              <w:t xml:space="preserve"> </w:t>
            </w:r>
            <w:r w:rsidR="00FB41F5" w:rsidRPr="009B0296">
              <w:rPr>
                <w:rFonts w:ascii="Arial" w:hAnsi="Arial" w:cs="Arial"/>
                <w:sz w:val="20"/>
                <w:szCs w:val="20"/>
              </w:rPr>
              <w:t xml:space="preserve">Zur Förderung der Vereinbarkeit von Familie und Beruf und der Personalentwicklung ist </w:t>
            </w:r>
            <w:r w:rsidR="007D46AC" w:rsidRPr="009B0296">
              <w:rPr>
                <w:rFonts w:ascii="Arial" w:hAnsi="Arial" w:cs="Arial"/>
                <w:sz w:val="20"/>
                <w:szCs w:val="20"/>
              </w:rPr>
              <w:t xml:space="preserve">daher </w:t>
            </w:r>
            <w:r w:rsidR="00FB41F5" w:rsidRPr="009B0296">
              <w:rPr>
                <w:rFonts w:ascii="Arial" w:hAnsi="Arial" w:cs="Arial"/>
                <w:sz w:val="20"/>
                <w:szCs w:val="20"/>
              </w:rPr>
              <w:t>e</w:t>
            </w:r>
            <w:r w:rsidRPr="009B0296">
              <w:rPr>
                <w:rFonts w:ascii="Arial" w:hAnsi="Arial" w:cs="Arial"/>
                <w:sz w:val="20"/>
                <w:szCs w:val="20"/>
              </w:rPr>
              <w:t>in flexibleres, behördenübergreifendes Personalmanagement</w:t>
            </w:r>
            <w:r w:rsidR="00FB41F5" w:rsidRPr="009B0296">
              <w:rPr>
                <w:rFonts w:ascii="Arial" w:hAnsi="Arial" w:cs="Arial"/>
                <w:sz w:val="20"/>
                <w:szCs w:val="20"/>
              </w:rPr>
              <w:t xml:space="preserve"> nötig.</w:t>
            </w:r>
            <w:r w:rsidRPr="009B0296">
              <w:rPr>
                <w:rFonts w:ascii="Arial" w:hAnsi="Arial" w:cs="Arial"/>
                <w:sz w:val="20"/>
                <w:szCs w:val="20"/>
              </w:rPr>
              <w:t xml:space="preserve"> </w:t>
            </w:r>
            <w:r w:rsidR="00FB41F5" w:rsidRPr="009B0296">
              <w:rPr>
                <w:rFonts w:ascii="Arial" w:hAnsi="Arial" w:cs="Arial"/>
                <w:sz w:val="20"/>
                <w:szCs w:val="20"/>
              </w:rPr>
              <w:t xml:space="preserve">Dies führt einerseits dazu, dass Beschäftigte mit Kindern oder pflegebedürftigen Angehörigen besser und früher wieder in den Dienst zurückkehren können und </w:t>
            </w:r>
            <w:r w:rsidR="00994ABD" w:rsidRPr="009B0296">
              <w:rPr>
                <w:rFonts w:ascii="Arial" w:hAnsi="Arial" w:cs="Arial"/>
                <w:sz w:val="20"/>
                <w:szCs w:val="20"/>
              </w:rPr>
              <w:t>trägt andererseits zur Attraktivität der Sicherheitsbehörden als Arbeitgeber bei.</w:t>
            </w:r>
            <w:r w:rsidR="00EC78D6" w:rsidRPr="009B0296">
              <w:rPr>
                <w:rFonts w:ascii="Arial" w:hAnsi="Arial" w:cs="Arial"/>
                <w:sz w:val="20"/>
                <w:szCs w:val="20"/>
              </w:rPr>
              <w:t xml:space="preserve"> </w:t>
            </w:r>
          </w:p>
          <w:p w:rsidR="00994ABD" w:rsidRPr="009B0296" w:rsidRDefault="00994ABD" w:rsidP="00994ABD">
            <w:pPr>
              <w:jc w:val="both"/>
              <w:rPr>
                <w:rFonts w:ascii="Arial" w:hAnsi="Arial" w:cs="Arial"/>
                <w:sz w:val="20"/>
                <w:szCs w:val="20"/>
              </w:rPr>
            </w:pPr>
          </w:p>
          <w:p w:rsidR="009E6CBB" w:rsidRPr="009B0296" w:rsidRDefault="00994ABD" w:rsidP="007D46AC">
            <w:pPr>
              <w:jc w:val="both"/>
              <w:rPr>
                <w:rFonts w:ascii="Arial" w:hAnsi="Arial" w:cs="Arial"/>
                <w:sz w:val="20"/>
                <w:szCs w:val="20"/>
              </w:rPr>
            </w:pPr>
            <w:r w:rsidRPr="009B0296">
              <w:rPr>
                <w:rFonts w:ascii="Arial" w:hAnsi="Arial" w:cs="Arial"/>
                <w:sz w:val="20"/>
                <w:szCs w:val="20"/>
              </w:rPr>
              <w:t xml:space="preserve">Aktuell existiert bereits eine Vielzahl von behördeninternen Regeln zum Personalaustausch im weitesten Sinne. </w:t>
            </w:r>
          </w:p>
          <w:p w:rsidR="009E6CBB" w:rsidRPr="009B0296" w:rsidRDefault="009E6CBB" w:rsidP="007D46AC">
            <w:pPr>
              <w:jc w:val="both"/>
              <w:rPr>
                <w:rFonts w:ascii="Arial" w:hAnsi="Arial" w:cs="Arial"/>
                <w:sz w:val="20"/>
                <w:szCs w:val="20"/>
              </w:rPr>
            </w:pPr>
          </w:p>
          <w:p w:rsidR="009E6CBB" w:rsidRDefault="009E6CBB" w:rsidP="007D46AC">
            <w:pPr>
              <w:jc w:val="both"/>
              <w:rPr>
                <w:rFonts w:ascii="Arial" w:hAnsi="Arial" w:cs="Arial"/>
              </w:rPr>
            </w:pPr>
          </w:p>
          <w:p w:rsidR="00EC78D6" w:rsidRPr="009B0296" w:rsidRDefault="00EC78D6" w:rsidP="000B154D">
            <w:pPr>
              <w:jc w:val="both"/>
              <w:rPr>
                <w:rFonts w:ascii="Arial" w:hAnsi="Arial" w:cs="Arial"/>
                <w:b/>
                <w:bCs/>
                <w:sz w:val="20"/>
                <w:szCs w:val="20"/>
              </w:rPr>
            </w:pPr>
            <w:r w:rsidRPr="009B0296">
              <w:rPr>
                <w:rFonts w:ascii="Arial" w:hAnsi="Arial" w:cs="Arial"/>
                <w:b/>
                <w:bCs/>
                <w:sz w:val="20"/>
                <w:szCs w:val="20"/>
              </w:rPr>
              <w:t xml:space="preserve">Es fehlt </w:t>
            </w:r>
            <w:r w:rsidR="00BD1D4C" w:rsidRPr="009B0296">
              <w:rPr>
                <w:rFonts w:ascii="Arial" w:hAnsi="Arial" w:cs="Arial"/>
                <w:b/>
                <w:bCs/>
                <w:sz w:val="20"/>
                <w:szCs w:val="20"/>
              </w:rPr>
              <w:t xml:space="preserve">jedoch </w:t>
            </w:r>
            <w:r w:rsidRPr="009B0296">
              <w:rPr>
                <w:rFonts w:ascii="Arial" w:hAnsi="Arial" w:cs="Arial"/>
                <w:b/>
                <w:bCs/>
                <w:sz w:val="20"/>
                <w:szCs w:val="20"/>
              </w:rPr>
              <w:t>an</w:t>
            </w:r>
            <w:r w:rsidR="00385853" w:rsidRPr="009B0296">
              <w:rPr>
                <w:rFonts w:ascii="Arial" w:hAnsi="Arial" w:cs="Arial"/>
                <w:b/>
                <w:bCs/>
                <w:sz w:val="20"/>
                <w:szCs w:val="20"/>
              </w:rPr>
              <w:t xml:space="preserve"> Maßnahmen zur Flexibilisierung des Personaleinsatzes und </w:t>
            </w:r>
            <w:r w:rsidRPr="009B0296">
              <w:rPr>
                <w:rFonts w:ascii="Arial" w:hAnsi="Arial" w:cs="Arial"/>
                <w:b/>
                <w:bCs/>
                <w:sz w:val="20"/>
                <w:szCs w:val="20"/>
              </w:rPr>
              <w:t xml:space="preserve">an </w:t>
            </w:r>
            <w:r w:rsidR="00385853" w:rsidRPr="009B0296">
              <w:rPr>
                <w:rFonts w:ascii="Arial" w:hAnsi="Arial" w:cs="Arial"/>
                <w:b/>
                <w:bCs/>
                <w:sz w:val="20"/>
                <w:szCs w:val="20"/>
              </w:rPr>
              <w:t>ein</w:t>
            </w:r>
            <w:r w:rsidRPr="009B0296">
              <w:rPr>
                <w:rFonts w:ascii="Arial" w:hAnsi="Arial" w:cs="Arial"/>
                <w:b/>
                <w:bCs/>
                <w:sz w:val="20"/>
                <w:szCs w:val="20"/>
              </w:rPr>
              <w:t>em</w:t>
            </w:r>
            <w:r w:rsidR="00385853" w:rsidRPr="009B0296">
              <w:rPr>
                <w:rFonts w:ascii="Arial" w:hAnsi="Arial" w:cs="Arial"/>
                <w:b/>
                <w:bCs/>
                <w:sz w:val="20"/>
                <w:szCs w:val="20"/>
              </w:rPr>
              <w:t xml:space="preserve"> Konzept für ein </w:t>
            </w:r>
            <w:r w:rsidRPr="009B0296">
              <w:rPr>
                <w:rFonts w:ascii="Arial" w:hAnsi="Arial" w:cs="Arial"/>
                <w:b/>
                <w:bCs/>
                <w:sz w:val="20"/>
                <w:szCs w:val="20"/>
              </w:rPr>
              <w:t>sicherheitsbehördenübergreifendes</w:t>
            </w:r>
            <w:r w:rsidR="00385853" w:rsidRPr="009B0296">
              <w:rPr>
                <w:rFonts w:ascii="Arial" w:hAnsi="Arial" w:cs="Arial"/>
                <w:b/>
                <w:bCs/>
                <w:sz w:val="20"/>
                <w:szCs w:val="20"/>
              </w:rPr>
              <w:t xml:space="preserve"> Verfahren</w:t>
            </w:r>
            <w:r w:rsidRPr="009B0296">
              <w:rPr>
                <w:rFonts w:ascii="Arial" w:hAnsi="Arial" w:cs="Arial"/>
                <w:b/>
                <w:bCs/>
                <w:sz w:val="20"/>
                <w:szCs w:val="20"/>
              </w:rPr>
              <w:t xml:space="preserve"> </w:t>
            </w:r>
            <w:r w:rsidR="000B154D" w:rsidRPr="009B0296">
              <w:rPr>
                <w:rFonts w:ascii="Arial" w:hAnsi="Arial" w:cs="Arial"/>
                <w:b/>
                <w:bCs/>
                <w:sz w:val="20"/>
                <w:szCs w:val="20"/>
              </w:rPr>
              <w:t>zur Förderung der Personalentwicklung und der Förderung der Vereinbarkeit von Familie und Beruf.</w:t>
            </w:r>
          </w:p>
          <w:p w:rsidR="00EC78D6" w:rsidRPr="009B0296" w:rsidRDefault="00EC78D6" w:rsidP="00EC78D6">
            <w:pPr>
              <w:jc w:val="both"/>
              <w:rPr>
                <w:rFonts w:ascii="Arial" w:hAnsi="Arial" w:cs="Arial"/>
                <w:b/>
                <w:bCs/>
                <w:sz w:val="20"/>
                <w:szCs w:val="20"/>
              </w:rPr>
            </w:pPr>
          </w:p>
          <w:p w:rsidR="00994ABD" w:rsidRPr="009B0296" w:rsidRDefault="000B154D" w:rsidP="000B154D">
            <w:pPr>
              <w:jc w:val="both"/>
              <w:rPr>
                <w:rFonts w:ascii="Arial" w:hAnsi="Arial" w:cs="Arial"/>
                <w:sz w:val="20"/>
                <w:szCs w:val="20"/>
              </w:rPr>
            </w:pPr>
            <w:r w:rsidRPr="009B0296">
              <w:rPr>
                <w:rFonts w:ascii="Arial" w:hAnsi="Arial" w:cs="Arial"/>
                <w:sz w:val="20"/>
                <w:szCs w:val="20"/>
              </w:rPr>
              <w:t>Regelungsbedürftige Aspekte sind</w:t>
            </w:r>
            <w:r w:rsidR="00BD1D4C" w:rsidRPr="009B0296">
              <w:rPr>
                <w:rFonts w:ascii="Arial" w:hAnsi="Arial" w:cs="Arial"/>
                <w:sz w:val="20"/>
                <w:szCs w:val="20"/>
              </w:rPr>
              <w:t xml:space="preserve"> (u.a.)</w:t>
            </w:r>
            <w:r w:rsidRPr="009B0296">
              <w:rPr>
                <w:rFonts w:ascii="Arial" w:hAnsi="Arial" w:cs="Arial"/>
                <w:sz w:val="20"/>
                <w:szCs w:val="20"/>
              </w:rPr>
              <w:t>:</w:t>
            </w:r>
          </w:p>
          <w:p w:rsidR="00385853" w:rsidRPr="009B0296" w:rsidRDefault="00385853" w:rsidP="00994ABD">
            <w:pPr>
              <w:jc w:val="both"/>
              <w:rPr>
                <w:rFonts w:ascii="Arial" w:hAnsi="Arial" w:cs="Arial"/>
                <w:sz w:val="20"/>
                <w:szCs w:val="20"/>
              </w:rPr>
            </w:pPr>
          </w:p>
          <w:p w:rsidR="00385853" w:rsidRPr="009B0296" w:rsidRDefault="007D46AC" w:rsidP="007D46AC">
            <w:pPr>
              <w:pStyle w:val="Listenabsatz"/>
              <w:numPr>
                <w:ilvl w:val="0"/>
                <w:numId w:val="1"/>
              </w:numPr>
              <w:jc w:val="both"/>
              <w:rPr>
                <w:rFonts w:ascii="Arial" w:hAnsi="Arial" w:cs="Arial"/>
                <w:sz w:val="20"/>
                <w:szCs w:val="20"/>
              </w:rPr>
            </w:pPr>
            <w:r w:rsidRPr="009B0296">
              <w:rPr>
                <w:rFonts w:ascii="Arial" w:hAnsi="Arial" w:cs="Arial"/>
                <w:sz w:val="20"/>
                <w:szCs w:val="20"/>
              </w:rPr>
              <w:t>die t</w:t>
            </w:r>
            <w:r w:rsidR="002F6BCD" w:rsidRPr="009B0296">
              <w:rPr>
                <w:rFonts w:ascii="Arial" w:hAnsi="Arial" w:cs="Arial"/>
                <w:sz w:val="20"/>
                <w:szCs w:val="20"/>
              </w:rPr>
              <w:t>ransparentere Kommunikation der Bedingungen für Behördenwechsel</w:t>
            </w:r>
          </w:p>
          <w:p w:rsidR="00804EE5" w:rsidRPr="009B0296" w:rsidRDefault="007D46AC" w:rsidP="007D46AC">
            <w:pPr>
              <w:pStyle w:val="Listenabsatz"/>
              <w:numPr>
                <w:ilvl w:val="0"/>
                <w:numId w:val="1"/>
              </w:numPr>
              <w:jc w:val="both"/>
              <w:rPr>
                <w:rFonts w:ascii="Arial" w:hAnsi="Arial" w:cs="Arial"/>
                <w:sz w:val="20"/>
                <w:szCs w:val="20"/>
              </w:rPr>
            </w:pPr>
            <w:r w:rsidRPr="009B0296">
              <w:rPr>
                <w:rFonts w:ascii="Arial" w:hAnsi="Arial" w:cs="Arial"/>
                <w:sz w:val="20"/>
                <w:szCs w:val="20"/>
              </w:rPr>
              <w:t>die behördenübergreifende Veröffentlichung von</w:t>
            </w:r>
            <w:r w:rsidR="00804EE5" w:rsidRPr="009B0296">
              <w:rPr>
                <w:rFonts w:ascii="Arial" w:hAnsi="Arial" w:cs="Arial"/>
                <w:sz w:val="20"/>
                <w:szCs w:val="20"/>
              </w:rPr>
              <w:t xml:space="preserve"> Stellenangebote</w:t>
            </w:r>
            <w:r w:rsidR="00190C95" w:rsidRPr="009B0296">
              <w:rPr>
                <w:rFonts w:ascii="Arial" w:hAnsi="Arial" w:cs="Arial"/>
                <w:sz w:val="20"/>
                <w:szCs w:val="20"/>
              </w:rPr>
              <w:t>n</w:t>
            </w:r>
            <w:r w:rsidR="00804EE5" w:rsidRPr="009B0296">
              <w:rPr>
                <w:rFonts w:ascii="Arial" w:hAnsi="Arial" w:cs="Arial"/>
                <w:sz w:val="20"/>
                <w:szCs w:val="20"/>
              </w:rPr>
              <w:t xml:space="preserve"> für einen breiteren Kreis von Beschäftigten </w:t>
            </w:r>
          </w:p>
          <w:p w:rsidR="002F6BCD" w:rsidRPr="009B0296" w:rsidRDefault="007D46AC" w:rsidP="002F6BCD">
            <w:pPr>
              <w:pStyle w:val="Listenabsatz"/>
              <w:numPr>
                <w:ilvl w:val="0"/>
                <w:numId w:val="1"/>
              </w:numPr>
              <w:jc w:val="both"/>
              <w:rPr>
                <w:rFonts w:ascii="Arial" w:hAnsi="Arial" w:cs="Arial"/>
                <w:sz w:val="20"/>
                <w:szCs w:val="20"/>
              </w:rPr>
            </w:pPr>
            <w:r w:rsidRPr="009B0296">
              <w:rPr>
                <w:rFonts w:ascii="Arial" w:hAnsi="Arial" w:cs="Arial"/>
                <w:sz w:val="20"/>
                <w:szCs w:val="20"/>
              </w:rPr>
              <w:t xml:space="preserve">die </w:t>
            </w:r>
            <w:r w:rsidR="002F6BCD" w:rsidRPr="009B0296">
              <w:rPr>
                <w:rFonts w:ascii="Arial" w:hAnsi="Arial" w:cs="Arial"/>
                <w:sz w:val="20"/>
                <w:szCs w:val="20"/>
              </w:rPr>
              <w:t>Ausweitung der Personalrotation auf andere Sicherheitsbehörden</w:t>
            </w:r>
            <w:r w:rsidR="0055071C" w:rsidRPr="009B0296">
              <w:rPr>
                <w:rFonts w:ascii="Arial" w:hAnsi="Arial" w:cs="Arial"/>
                <w:sz w:val="20"/>
                <w:szCs w:val="20"/>
              </w:rPr>
              <w:t xml:space="preserve"> in allen Laufbahnen</w:t>
            </w:r>
          </w:p>
          <w:p w:rsidR="00302445" w:rsidRPr="009B0296" w:rsidRDefault="007D46AC" w:rsidP="007D46AC">
            <w:pPr>
              <w:pStyle w:val="Listenabsatz"/>
              <w:numPr>
                <w:ilvl w:val="0"/>
                <w:numId w:val="1"/>
              </w:numPr>
              <w:jc w:val="both"/>
              <w:rPr>
                <w:rFonts w:ascii="Arial" w:hAnsi="Arial" w:cs="Arial"/>
                <w:sz w:val="20"/>
                <w:szCs w:val="20"/>
              </w:rPr>
            </w:pPr>
            <w:r w:rsidRPr="009B0296">
              <w:rPr>
                <w:rFonts w:ascii="Arial" w:hAnsi="Arial" w:cs="Arial"/>
                <w:sz w:val="20"/>
                <w:szCs w:val="20"/>
              </w:rPr>
              <w:lastRenderedPageBreak/>
              <w:t>eine intensivere</w:t>
            </w:r>
            <w:r w:rsidR="00302445" w:rsidRPr="009B0296">
              <w:rPr>
                <w:rFonts w:ascii="Arial" w:hAnsi="Arial" w:cs="Arial"/>
                <w:sz w:val="20"/>
                <w:szCs w:val="20"/>
              </w:rPr>
              <w:t xml:space="preserve"> Zusammenarbeit bei der Aus- und Fortbildung, z.B. Modul „BKA“ für Anwärter anderer Sicherheitsbehörden</w:t>
            </w:r>
            <w:r w:rsidR="00427621" w:rsidRPr="009B0296">
              <w:rPr>
                <w:rFonts w:ascii="Arial" w:hAnsi="Arial" w:cs="Arial"/>
                <w:sz w:val="20"/>
                <w:szCs w:val="20"/>
              </w:rPr>
              <w:t xml:space="preserve"> und umgekehrt</w:t>
            </w:r>
          </w:p>
          <w:p w:rsidR="002F6BCD" w:rsidRPr="009B0296" w:rsidRDefault="007D46AC" w:rsidP="007D46AC">
            <w:pPr>
              <w:pStyle w:val="Listenabsatz"/>
              <w:numPr>
                <w:ilvl w:val="0"/>
                <w:numId w:val="1"/>
              </w:numPr>
              <w:jc w:val="both"/>
              <w:rPr>
                <w:rFonts w:ascii="Arial" w:hAnsi="Arial" w:cs="Arial"/>
                <w:sz w:val="20"/>
                <w:szCs w:val="20"/>
              </w:rPr>
            </w:pPr>
            <w:r w:rsidRPr="009B0296">
              <w:rPr>
                <w:rFonts w:ascii="Arial" w:hAnsi="Arial" w:cs="Arial"/>
                <w:sz w:val="20"/>
                <w:szCs w:val="20"/>
              </w:rPr>
              <w:t xml:space="preserve">die </w:t>
            </w:r>
            <w:r w:rsidR="002F6BCD" w:rsidRPr="009B0296">
              <w:rPr>
                <w:rFonts w:ascii="Arial" w:hAnsi="Arial" w:cs="Arial"/>
                <w:sz w:val="20"/>
                <w:szCs w:val="20"/>
              </w:rPr>
              <w:t xml:space="preserve">Option der Abordnung </w:t>
            </w:r>
            <w:r w:rsidRPr="009B0296">
              <w:rPr>
                <w:rFonts w:ascii="Arial" w:hAnsi="Arial" w:cs="Arial"/>
                <w:sz w:val="20"/>
                <w:szCs w:val="20"/>
              </w:rPr>
              <w:t xml:space="preserve">anstelle einer Versetzung </w:t>
            </w:r>
            <w:r w:rsidR="002F6BCD" w:rsidRPr="009B0296">
              <w:rPr>
                <w:rFonts w:ascii="Arial" w:hAnsi="Arial" w:cs="Arial"/>
                <w:sz w:val="20"/>
                <w:szCs w:val="20"/>
              </w:rPr>
              <w:t xml:space="preserve">zu anderen Sicherheitsbehörden, </w:t>
            </w:r>
            <w:r w:rsidRPr="009B0296">
              <w:rPr>
                <w:rFonts w:ascii="Arial" w:hAnsi="Arial" w:cs="Arial"/>
                <w:sz w:val="20"/>
                <w:szCs w:val="20"/>
              </w:rPr>
              <w:t xml:space="preserve">u.a. </w:t>
            </w:r>
            <w:r w:rsidR="002F6BCD" w:rsidRPr="009B0296">
              <w:rPr>
                <w:rFonts w:ascii="Arial" w:hAnsi="Arial" w:cs="Arial"/>
                <w:sz w:val="20"/>
                <w:szCs w:val="20"/>
              </w:rPr>
              <w:t>um den Beschäftig</w:t>
            </w:r>
            <w:r w:rsidR="00302445" w:rsidRPr="009B0296">
              <w:rPr>
                <w:rFonts w:ascii="Arial" w:hAnsi="Arial" w:cs="Arial"/>
                <w:sz w:val="20"/>
                <w:szCs w:val="20"/>
              </w:rPr>
              <w:t xml:space="preserve">ten eine Kinderbetreuung in andere Bundesländern zu ermöglichen, in denen Angehörige bei der Erziehung unterstützen könnten </w:t>
            </w:r>
            <w:r w:rsidRPr="009B0296">
              <w:rPr>
                <w:rFonts w:ascii="Arial" w:hAnsi="Arial" w:cs="Arial"/>
                <w:sz w:val="20"/>
                <w:szCs w:val="20"/>
              </w:rPr>
              <w:t xml:space="preserve">bzw. für die </w:t>
            </w:r>
            <w:r w:rsidR="00302445" w:rsidRPr="009B0296">
              <w:rPr>
                <w:rFonts w:ascii="Arial" w:hAnsi="Arial" w:cs="Arial"/>
                <w:sz w:val="20"/>
                <w:szCs w:val="20"/>
              </w:rPr>
              <w:t>Pflege von Angehörigen</w:t>
            </w:r>
          </w:p>
          <w:p w:rsidR="002F6BCD" w:rsidRPr="009B0296" w:rsidRDefault="002F6BCD" w:rsidP="00190C95">
            <w:pPr>
              <w:pStyle w:val="Listenabsatz"/>
              <w:numPr>
                <w:ilvl w:val="0"/>
                <w:numId w:val="1"/>
              </w:numPr>
              <w:jc w:val="both"/>
              <w:rPr>
                <w:rFonts w:ascii="Arial" w:hAnsi="Arial" w:cs="Arial"/>
                <w:sz w:val="20"/>
                <w:szCs w:val="20"/>
              </w:rPr>
            </w:pPr>
            <w:r w:rsidRPr="009B0296">
              <w:rPr>
                <w:rFonts w:ascii="Arial" w:hAnsi="Arial" w:cs="Arial"/>
                <w:sz w:val="20"/>
                <w:szCs w:val="20"/>
              </w:rPr>
              <w:t xml:space="preserve">Lockerung des Tauschpartnerprinzips, z.B. im Hinblick auf die </w:t>
            </w:r>
            <w:r w:rsidR="007D46AC" w:rsidRPr="009B0296">
              <w:rPr>
                <w:rFonts w:ascii="Arial" w:hAnsi="Arial" w:cs="Arial"/>
                <w:sz w:val="20"/>
                <w:szCs w:val="20"/>
              </w:rPr>
              <w:t xml:space="preserve">geforderte </w:t>
            </w:r>
            <w:r w:rsidRPr="009B0296">
              <w:rPr>
                <w:rFonts w:ascii="Arial" w:hAnsi="Arial" w:cs="Arial"/>
                <w:sz w:val="20"/>
                <w:szCs w:val="20"/>
              </w:rPr>
              <w:t>Gleichrangigkeit von Dienstgraden</w:t>
            </w:r>
            <w:r w:rsidR="00190C95" w:rsidRPr="009B0296">
              <w:rPr>
                <w:rFonts w:ascii="Arial" w:hAnsi="Arial" w:cs="Arial"/>
                <w:sz w:val="20"/>
                <w:szCs w:val="20"/>
              </w:rPr>
              <w:t xml:space="preserve"> bzw. eine</w:t>
            </w:r>
            <w:r w:rsidRPr="009B0296">
              <w:rPr>
                <w:rFonts w:ascii="Arial" w:hAnsi="Arial" w:cs="Arial"/>
                <w:sz w:val="20"/>
                <w:szCs w:val="20"/>
              </w:rPr>
              <w:t xml:space="preserve"> Prüfung der Möglichkeit anderweitiger Kompensation zwischen den Dienstherren</w:t>
            </w:r>
          </w:p>
          <w:p w:rsidR="00427621" w:rsidRPr="009B0296" w:rsidRDefault="00302445" w:rsidP="00427621">
            <w:pPr>
              <w:pStyle w:val="Listenabsatz"/>
              <w:numPr>
                <w:ilvl w:val="0"/>
                <w:numId w:val="1"/>
              </w:numPr>
              <w:jc w:val="both"/>
              <w:rPr>
                <w:rFonts w:ascii="Arial" w:hAnsi="Arial" w:cs="Arial"/>
                <w:sz w:val="20"/>
                <w:szCs w:val="20"/>
              </w:rPr>
            </w:pPr>
            <w:r w:rsidRPr="009B0296">
              <w:rPr>
                <w:rFonts w:ascii="Arial" w:hAnsi="Arial" w:cs="Arial"/>
                <w:sz w:val="20"/>
                <w:szCs w:val="20"/>
              </w:rPr>
              <w:t>Mehr Anerkennung von Erfahrungswissen aus anderen Behörden im Beurteilungswesen</w:t>
            </w:r>
          </w:p>
          <w:p w:rsidR="00427621" w:rsidRPr="009B0296" w:rsidRDefault="00427621" w:rsidP="00BD1D4C">
            <w:pPr>
              <w:pStyle w:val="Listenabsatz"/>
              <w:jc w:val="both"/>
              <w:rPr>
                <w:rFonts w:ascii="Arial" w:hAnsi="Arial" w:cs="Arial"/>
                <w:sz w:val="20"/>
                <w:szCs w:val="20"/>
              </w:rPr>
            </w:pPr>
          </w:p>
          <w:p w:rsidR="00994ABD" w:rsidRPr="007D48D4" w:rsidRDefault="00994ABD" w:rsidP="00994ABD">
            <w:pPr>
              <w:jc w:val="both"/>
              <w:rPr>
                <w:rFonts w:ascii="Arial" w:hAnsi="Arial" w:cs="Arial"/>
                <w:sz w:val="18"/>
                <w:szCs w:val="18"/>
              </w:rPr>
            </w:pPr>
          </w:p>
        </w:tc>
      </w:tr>
      <w:tr w:rsidR="006448CC">
        <w:tc>
          <w:tcPr>
            <w:tcW w:w="4196" w:type="dxa"/>
          </w:tcPr>
          <w:p w:rsidR="006448CC" w:rsidRDefault="006448CC">
            <w:pPr>
              <w:pStyle w:val="Kopfzeile"/>
              <w:tabs>
                <w:tab w:val="clear" w:pos="4536"/>
                <w:tab w:val="clear" w:pos="9072"/>
              </w:tabs>
              <w:jc w:val="both"/>
              <w:rPr>
                <w:rFonts w:ascii="Arial" w:hAnsi="Arial" w:cs="Arial"/>
              </w:rPr>
            </w:pPr>
          </w:p>
        </w:tc>
        <w:tc>
          <w:tcPr>
            <w:tcW w:w="542" w:type="dxa"/>
          </w:tcPr>
          <w:p w:rsidR="006448CC" w:rsidRDefault="006448CC">
            <w:pPr>
              <w:rPr>
                <w:rFonts w:ascii="Arial" w:hAnsi="Arial" w:cs="Arial"/>
              </w:rPr>
            </w:pPr>
          </w:p>
        </w:tc>
        <w:tc>
          <w:tcPr>
            <w:tcW w:w="4688" w:type="dxa"/>
          </w:tcPr>
          <w:p w:rsidR="006448CC" w:rsidRDefault="006448CC">
            <w:pPr>
              <w:rPr>
                <w:rFonts w:ascii="Arial" w:hAnsi="Arial" w:cs="Arial"/>
              </w:rPr>
            </w:pPr>
          </w:p>
        </w:tc>
      </w:tr>
    </w:tbl>
    <w:p w:rsidR="006448CC" w:rsidRDefault="006448CC">
      <w:pPr>
        <w:rPr>
          <w:rFonts w:ascii="Arial" w:hAnsi="Arial" w:cs="Arial"/>
        </w:rPr>
        <w:sectPr w:rsidR="006448CC" w:rsidSect="006C7BAF">
          <w:headerReference w:type="default" r:id="rId8"/>
          <w:type w:val="continuous"/>
          <w:pgSz w:w="11906" w:h="16838" w:code="9"/>
          <w:pgMar w:top="782" w:right="851" w:bottom="1134" w:left="1985" w:header="720" w:footer="720" w:gutter="0"/>
          <w:cols w:space="720"/>
          <w:titlePg/>
        </w:sectPr>
      </w:pPr>
    </w:p>
    <w:p w:rsidR="006448CC" w:rsidRDefault="006448CC">
      <w:pPr>
        <w:rPr>
          <w:rFonts w:ascii="Arial" w:hAnsi="Arial" w:cs="Arial"/>
          <w:b/>
          <w:bCs/>
          <w:sz w:val="22"/>
          <w:szCs w:val="22"/>
        </w:rPr>
      </w:pPr>
    </w:p>
    <w:p w:rsidR="006448CC" w:rsidRDefault="006448CC">
      <w:pPr>
        <w:rPr>
          <w:rFonts w:ascii="Arial" w:hAnsi="Arial" w:cs="Arial"/>
          <w:b/>
          <w:bCs/>
          <w:sz w:val="22"/>
          <w:szCs w:val="22"/>
        </w:rPr>
      </w:pPr>
    </w:p>
    <w:p w:rsidR="006448CC" w:rsidRDefault="006448CC">
      <w:pPr>
        <w:rPr>
          <w:rFonts w:ascii="Arial" w:hAnsi="Arial" w:cs="Arial"/>
          <w:b/>
          <w:bCs/>
          <w:sz w:val="22"/>
          <w:szCs w:val="22"/>
        </w:rPr>
      </w:pPr>
    </w:p>
    <w:p w:rsidR="006448CC" w:rsidRDefault="006448CC">
      <w:pPr>
        <w:rPr>
          <w:rFonts w:ascii="Arial" w:hAnsi="Arial" w:cs="Arial"/>
          <w:b/>
          <w:bCs/>
          <w:sz w:val="22"/>
          <w:szCs w:val="22"/>
        </w:rPr>
      </w:pPr>
    </w:p>
    <w:p w:rsidR="006448CC" w:rsidRDefault="006448CC">
      <w:pPr>
        <w:rPr>
          <w:rFonts w:ascii="Arial" w:hAnsi="Arial" w:cs="Arial"/>
          <w:b/>
          <w:bCs/>
          <w:sz w:val="22"/>
          <w:szCs w:val="22"/>
        </w:rPr>
      </w:pPr>
    </w:p>
    <w:p w:rsidR="006448CC" w:rsidRDefault="006448CC">
      <w:pPr>
        <w:rPr>
          <w:rFonts w:ascii="Arial" w:hAnsi="Arial" w:cs="Arial"/>
          <w:b/>
          <w:bCs/>
          <w:sz w:val="22"/>
          <w:szCs w:val="22"/>
        </w:rPr>
      </w:pPr>
    </w:p>
    <w:p w:rsidR="006448CC" w:rsidRDefault="006448CC">
      <w:pPr>
        <w:rPr>
          <w:rFonts w:ascii="Arial" w:hAnsi="Arial" w:cs="Arial"/>
          <w:b/>
          <w:bCs/>
          <w:sz w:val="22"/>
          <w:szCs w:val="22"/>
        </w:rPr>
      </w:pPr>
    </w:p>
    <w:p w:rsidR="006448CC" w:rsidRDefault="006448CC">
      <w:pPr>
        <w:rPr>
          <w:rFonts w:ascii="Arial" w:hAnsi="Arial" w:cs="Arial"/>
          <w:b/>
          <w:bCs/>
          <w:sz w:val="22"/>
          <w:szCs w:val="22"/>
        </w:rPr>
      </w:pPr>
    </w:p>
    <w:p w:rsidR="006448CC" w:rsidRDefault="006448CC">
      <w:pPr>
        <w:rPr>
          <w:rFonts w:ascii="Arial" w:hAnsi="Arial" w:cs="Arial"/>
          <w:b/>
          <w:bCs/>
          <w:sz w:val="22"/>
          <w:szCs w:val="22"/>
        </w:rPr>
      </w:pPr>
    </w:p>
    <w:p w:rsidR="006448CC" w:rsidRDefault="006448CC">
      <w:pPr>
        <w:rPr>
          <w:rFonts w:ascii="Arial" w:hAnsi="Arial" w:cs="Arial"/>
          <w:b/>
          <w:bCs/>
          <w:sz w:val="22"/>
          <w:szCs w:val="22"/>
        </w:rPr>
      </w:pPr>
    </w:p>
    <w:p w:rsidR="006448CC" w:rsidRDefault="006448CC">
      <w:pPr>
        <w:rPr>
          <w:rFonts w:ascii="Arial" w:hAnsi="Arial" w:cs="Arial"/>
          <w:b/>
          <w:bCs/>
          <w:sz w:val="22"/>
          <w:szCs w:val="22"/>
        </w:rPr>
      </w:pPr>
    </w:p>
    <w:p w:rsidR="006448CC" w:rsidRDefault="006448CC">
      <w:pPr>
        <w:rPr>
          <w:rFonts w:ascii="Arial" w:hAnsi="Arial" w:cs="Arial"/>
          <w:b/>
          <w:bCs/>
          <w:sz w:val="22"/>
          <w:szCs w:val="22"/>
        </w:rPr>
      </w:pPr>
    </w:p>
    <w:p w:rsidR="006448CC" w:rsidRDefault="006448CC">
      <w:pPr>
        <w:rPr>
          <w:rFonts w:ascii="Arial" w:hAnsi="Arial" w:cs="Arial"/>
          <w:b/>
          <w:bCs/>
          <w:sz w:val="22"/>
          <w:szCs w:val="22"/>
        </w:rPr>
      </w:pPr>
    </w:p>
    <w:p w:rsidR="006448CC" w:rsidRDefault="006448CC">
      <w:pPr>
        <w:rPr>
          <w:rFonts w:ascii="Arial" w:hAnsi="Arial" w:cs="Arial"/>
          <w:b/>
          <w:bCs/>
          <w:sz w:val="22"/>
          <w:szCs w:val="22"/>
        </w:rPr>
      </w:pPr>
    </w:p>
    <w:p w:rsidR="006448CC" w:rsidRDefault="006448CC">
      <w:pPr>
        <w:rPr>
          <w:rFonts w:ascii="Arial" w:hAnsi="Arial" w:cs="Arial"/>
          <w:b/>
          <w:bCs/>
          <w:sz w:val="22"/>
          <w:szCs w:val="22"/>
        </w:rPr>
      </w:pPr>
    </w:p>
    <w:p w:rsidR="006448CC" w:rsidRDefault="006448CC">
      <w:pPr>
        <w:rPr>
          <w:rFonts w:ascii="Arial" w:hAnsi="Arial" w:cs="Arial"/>
          <w:b/>
          <w:bCs/>
          <w:sz w:val="22"/>
          <w:szCs w:val="22"/>
        </w:rPr>
      </w:pPr>
    </w:p>
    <w:p w:rsidR="006448CC" w:rsidRDefault="006448CC">
      <w:pPr>
        <w:rPr>
          <w:rFonts w:ascii="Arial" w:hAnsi="Arial" w:cs="Arial"/>
          <w:b/>
          <w:bCs/>
          <w:sz w:val="22"/>
          <w:szCs w:val="22"/>
        </w:rPr>
      </w:pPr>
    </w:p>
    <w:p w:rsidR="006448CC" w:rsidRDefault="006448CC">
      <w:pPr>
        <w:rPr>
          <w:rFonts w:ascii="Arial" w:hAnsi="Arial" w:cs="Arial"/>
          <w:b/>
          <w:bCs/>
          <w:sz w:val="22"/>
          <w:szCs w:val="22"/>
        </w:rPr>
      </w:pPr>
    </w:p>
    <w:p w:rsidR="009B0296" w:rsidRDefault="009B0296">
      <w:pPr>
        <w:rPr>
          <w:rFonts w:ascii="Arial" w:hAnsi="Arial" w:cs="Arial"/>
          <w:b/>
          <w:bCs/>
          <w:sz w:val="22"/>
          <w:szCs w:val="22"/>
        </w:rPr>
      </w:pPr>
    </w:p>
    <w:p w:rsidR="009B0296" w:rsidRDefault="009B0296">
      <w:pPr>
        <w:rPr>
          <w:rFonts w:ascii="Arial" w:hAnsi="Arial" w:cs="Arial"/>
          <w:b/>
          <w:bCs/>
          <w:sz w:val="22"/>
          <w:szCs w:val="22"/>
        </w:rPr>
      </w:pPr>
    </w:p>
    <w:p w:rsidR="009B0296" w:rsidRDefault="009B0296">
      <w:pPr>
        <w:rPr>
          <w:rFonts w:ascii="Arial" w:hAnsi="Arial" w:cs="Arial"/>
          <w:b/>
          <w:bCs/>
          <w:sz w:val="22"/>
          <w:szCs w:val="22"/>
        </w:rPr>
      </w:pPr>
    </w:p>
    <w:p w:rsidR="009B0296" w:rsidRDefault="009B0296">
      <w:pPr>
        <w:rPr>
          <w:rFonts w:ascii="Arial" w:hAnsi="Arial" w:cs="Arial"/>
          <w:b/>
          <w:bCs/>
          <w:sz w:val="22"/>
          <w:szCs w:val="22"/>
        </w:rPr>
      </w:pPr>
    </w:p>
    <w:p w:rsidR="009B0296" w:rsidRDefault="009B0296">
      <w:pPr>
        <w:rPr>
          <w:rFonts w:ascii="Arial" w:hAnsi="Arial" w:cs="Arial"/>
          <w:b/>
          <w:bCs/>
          <w:sz w:val="22"/>
          <w:szCs w:val="22"/>
        </w:rPr>
      </w:pPr>
    </w:p>
    <w:p w:rsidR="009B0296" w:rsidRDefault="009B0296">
      <w:pPr>
        <w:rPr>
          <w:rFonts w:ascii="Arial" w:hAnsi="Arial" w:cs="Arial"/>
          <w:b/>
          <w:bCs/>
          <w:sz w:val="22"/>
          <w:szCs w:val="22"/>
        </w:rPr>
      </w:pPr>
    </w:p>
    <w:p w:rsidR="009B0296" w:rsidRDefault="009B0296">
      <w:pPr>
        <w:rPr>
          <w:rFonts w:ascii="Arial" w:hAnsi="Arial" w:cs="Arial"/>
          <w:b/>
          <w:bCs/>
          <w:sz w:val="22"/>
          <w:szCs w:val="22"/>
        </w:rPr>
      </w:pPr>
    </w:p>
    <w:p w:rsidR="009B0296" w:rsidRDefault="009B0296">
      <w:pPr>
        <w:rPr>
          <w:rFonts w:ascii="Arial" w:hAnsi="Arial" w:cs="Arial"/>
          <w:b/>
          <w:bCs/>
          <w:sz w:val="22"/>
          <w:szCs w:val="22"/>
        </w:rPr>
      </w:pPr>
    </w:p>
    <w:p w:rsidR="009B0296" w:rsidRDefault="009B0296">
      <w:pPr>
        <w:rPr>
          <w:rFonts w:ascii="Arial" w:hAnsi="Arial" w:cs="Arial"/>
          <w:b/>
          <w:bCs/>
          <w:sz w:val="22"/>
          <w:szCs w:val="22"/>
        </w:rPr>
      </w:pPr>
    </w:p>
    <w:p w:rsidR="009B0296" w:rsidRDefault="009B0296">
      <w:pPr>
        <w:rPr>
          <w:rFonts w:ascii="Arial" w:hAnsi="Arial" w:cs="Arial"/>
          <w:b/>
          <w:bCs/>
          <w:sz w:val="22"/>
          <w:szCs w:val="22"/>
        </w:rPr>
      </w:pPr>
    </w:p>
    <w:p w:rsidR="009B0296" w:rsidRDefault="009B0296">
      <w:pPr>
        <w:rPr>
          <w:rFonts w:ascii="Arial" w:hAnsi="Arial" w:cs="Arial"/>
          <w:b/>
          <w:bCs/>
          <w:sz w:val="22"/>
          <w:szCs w:val="22"/>
        </w:rPr>
      </w:pPr>
    </w:p>
    <w:p w:rsidR="009B0296" w:rsidRDefault="009B0296">
      <w:pPr>
        <w:rPr>
          <w:rFonts w:ascii="Arial" w:hAnsi="Arial" w:cs="Arial"/>
          <w:b/>
          <w:bCs/>
          <w:sz w:val="22"/>
          <w:szCs w:val="22"/>
        </w:rPr>
      </w:pPr>
    </w:p>
    <w:p w:rsidR="006448CC" w:rsidRDefault="006448CC">
      <w:pPr>
        <w:rPr>
          <w:rFonts w:ascii="Arial" w:hAnsi="Arial" w:cs="Arial"/>
          <w:b/>
          <w:bCs/>
          <w:sz w:val="22"/>
          <w:szCs w:val="22"/>
        </w:rPr>
      </w:pPr>
      <w:bookmarkStart w:id="0" w:name="_GoBack"/>
      <w:bookmarkEnd w:id="0"/>
    </w:p>
    <w:p w:rsidR="006448CC" w:rsidRDefault="006448CC">
      <w:pPr>
        <w:rPr>
          <w:rFonts w:ascii="Arial" w:hAnsi="Arial" w:cs="Arial"/>
          <w:b/>
          <w:bCs/>
          <w:sz w:val="22"/>
          <w:szCs w:val="22"/>
        </w:rPr>
      </w:pPr>
      <w:r>
        <w:rPr>
          <w:rFonts w:ascii="Arial" w:hAnsi="Arial" w:cs="Arial"/>
          <w:b/>
          <w:bCs/>
          <w:sz w:val="22"/>
          <w:szCs w:val="22"/>
        </w:rPr>
        <w:t>Empfehlung der</w:t>
      </w:r>
    </w:p>
    <w:p w:rsidR="006448CC" w:rsidRDefault="006448CC">
      <w:pPr>
        <w:rPr>
          <w:rFonts w:ascii="Arial" w:hAnsi="Arial" w:cs="Arial"/>
          <w:b/>
          <w:bCs/>
          <w:sz w:val="22"/>
          <w:szCs w:val="22"/>
        </w:rPr>
      </w:pPr>
      <w:r w:rsidRPr="00C57897">
        <w:rPr>
          <w:rFonts w:ascii="Arial" w:hAnsi="Arial" w:cs="Arial"/>
          <w:b/>
          <w:bCs/>
          <w:sz w:val="22"/>
          <w:szCs w:val="22"/>
        </w:rPr>
        <w:t>Antragsberatungskommission:</w:t>
      </w:r>
      <w:r>
        <w:rPr>
          <w:rFonts w:ascii="Arial" w:hAnsi="Arial" w:cs="Arial"/>
          <w:b/>
          <w:bCs/>
          <w:sz w:val="22"/>
          <w:szCs w:val="22"/>
        </w:rPr>
        <w:t xml:space="preserve"> </w:t>
      </w:r>
    </w:p>
    <w:p w:rsidR="009B0296" w:rsidRDefault="009B0296">
      <w:pPr>
        <w:rPr>
          <w:rFonts w:ascii="Arial" w:hAnsi="Arial" w:cs="Arial"/>
          <w:b/>
          <w:bCs/>
          <w:sz w:val="22"/>
          <w:szCs w:val="22"/>
        </w:rPr>
      </w:pPr>
    </w:p>
    <w:p w:rsidR="009B0296" w:rsidRDefault="009B0296">
      <w:pPr>
        <w:rPr>
          <w:rFonts w:ascii="Arial" w:hAnsi="Arial" w:cs="Arial"/>
          <w:b/>
          <w:bCs/>
          <w:sz w:val="22"/>
          <w:szCs w:val="22"/>
        </w:rPr>
      </w:pPr>
    </w:p>
    <w:p w:rsidR="009B0296" w:rsidRDefault="009B0296">
      <w:pPr>
        <w:rPr>
          <w:rFonts w:ascii="Arial" w:hAnsi="Arial" w:cs="Arial"/>
          <w:b/>
          <w:bCs/>
          <w:sz w:val="22"/>
          <w:szCs w:val="22"/>
        </w:rPr>
      </w:pPr>
    </w:p>
    <w:p w:rsidR="009B0296" w:rsidRDefault="009B0296">
      <w:pPr>
        <w:rPr>
          <w:rFonts w:ascii="Arial" w:hAnsi="Arial" w:cs="Arial"/>
          <w:b/>
          <w:bCs/>
          <w:sz w:val="22"/>
          <w:szCs w:val="22"/>
        </w:rPr>
      </w:pPr>
    </w:p>
    <w:p w:rsidR="009B0296" w:rsidRDefault="009B0296">
      <w:pPr>
        <w:rPr>
          <w:rFonts w:ascii="Arial" w:hAnsi="Arial" w:cs="Arial"/>
          <w:b/>
          <w:bCs/>
          <w:sz w:val="22"/>
          <w:szCs w:val="22"/>
        </w:rPr>
      </w:pPr>
    </w:p>
    <w:p w:rsidR="006448CC" w:rsidRDefault="006448CC"/>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6"/>
        <w:gridCol w:w="1971"/>
        <w:gridCol w:w="446"/>
        <w:gridCol w:w="2525"/>
        <w:gridCol w:w="446"/>
        <w:gridCol w:w="1490"/>
        <w:gridCol w:w="446"/>
        <w:gridCol w:w="1396"/>
      </w:tblGrid>
      <w:tr w:rsidR="006448CC" w:rsidRPr="008E3847">
        <w:tc>
          <w:tcPr>
            <w:tcW w:w="0" w:type="auto"/>
            <w:vAlign w:val="center"/>
          </w:tcPr>
          <w:bookmarkStart w:id="1" w:name="Kontrollkästchen1"/>
          <w:p w:rsidR="006448CC" w:rsidRPr="007F55C3" w:rsidRDefault="006448CC" w:rsidP="00B763FA">
            <w:pPr>
              <w:rPr>
                <w:rFonts w:ascii="Arial" w:hAnsi="Arial" w:cs="Arial"/>
                <w:sz w:val="20"/>
                <w:szCs w:val="20"/>
              </w:rPr>
            </w:pPr>
            <w:r w:rsidRPr="007F55C3">
              <w:rPr>
                <w:rFonts w:ascii="Arial" w:hAnsi="Arial" w:cs="Arial"/>
                <w:sz w:val="20"/>
                <w:szCs w:val="20"/>
              </w:rPr>
              <w:fldChar w:fldCharType="begin">
                <w:ffData>
                  <w:name w:val="Kontrollkästchen1"/>
                  <w:enabled/>
                  <w:calcOnExit w:val="0"/>
                  <w:checkBox>
                    <w:sizeAuto/>
                    <w:default w:val="0"/>
                  </w:checkBox>
                </w:ffData>
              </w:fldChar>
            </w:r>
            <w:r w:rsidRPr="007F55C3">
              <w:rPr>
                <w:rFonts w:ascii="Arial" w:hAnsi="Arial" w:cs="Arial"/>
                <w:sz w:val="20"/>
                <w:szCs w:val="20"/>
              </w:rPr>
              <w:instrText xml:space="preserve"> FORMCHECKBOX </w:instrText>
            </w:r>
            <w:r w:rsidR="00D46397">
              <w:rPr>
                <w:rFonts w:ascii="Arial" w:hAnsi="Arial" w:cs="Arial"/>
                <w:sz w:val="20"/>
                <w:szCs w:val="20"/>
              </w:rPr>
            </w:r>
            <w:r w:rsidR="00D46397">
              <w:rPr>
                <w:rFonts w:ascii="Arial" w:hAnsi="Arial" w:cs="Arial"/>
                <w:sz w:val="20"/>
                <w:szCs w:val="20"/>
              </w:rPr>
              <w:fldChar w:fldCharType="separate"/>
            </w:r>
            <w:r w:rsidRPr="007F55C3">
              <w:rPr>
                <w:rFonts w:ascii="Arial" w:hAnsi="Arial" w:cs="Arial"/>
                <w:sz w:val="20"/>
                <w:szCs w:val="20"/>
              </w:rPr>
              <w:fldChar w:fldCharType="end"/>
            </w:r>
            <w:bookmarkEnd w:id="1"/>
          </w:p>
        </w:tc>
        <w:tc>
          <w:tcPr>
            <w:tcW w:w="0" w:type="auto"/>
            <w:shd w:val="pct10" w:color="auto" w:fill="auto"/>
            <w:vAlign w:val="center"/>
          </w:tcPr>
          <w:p w:rsidR="006448CC" w:rsidRPr="007F55C3" w:rsidRDefault="006448CC" w:rsidP="00B763FA">
            <w:pPr>
              <w:rPr>
                <w:rFonts w:ascii="Arial" w:hAnsi="Arial" w:cs="Arial"/>
                <w:sz w:val="20"/>
                <w:szCs w:val="20"/>
              </w:rPr>
            </w:pPr>
            <w:r w:rsidRPr="007F55C3">
              <w:rPr>
                <w:rFonts w:ascii="Arial" w:hAnsi="Arial" w:cs="Arial"/>
                <w:sz w:val="20"/>
                <w:szCs w:val="20"/>
              </w:rPr>
              <w:t>Annahme</w:t>
            </w:r>
          </w:p>
        </w:tc>
        <w:tc>
          <w:tcPr>
            <w:tcW w:w="0" w:type="auto"/>
            <w:vAlign w:val="center"/>
          </w:tcPr>
          <w:p w:rsidR="006448CC" w:rsidRPr="007F55C3" w:rsidRDefault="006448CC" w:rsidP="00B763FA">
            <w:pPr>
              <w:rPr>
                <w:rFonts w:ascii="Arial" w:hAnsi="Arial" w:cs="Arial"/>
                <w:sz w:val="20"/>
                <w:szCs w:val="20"/>
              </w:rPr>
            </w:pPr>
            <w:r w:rsidRPr="007F55C3">
              <w:rPr>
                <w:rFonts w:ascii="Arial" w:hAnsi="Arial" w:cs="Arial"/>
                <w:sz w:val="20"/>
                <w:szCs w:val="20"/>
              </w:rPr>
              <w:fldChar w:fldCharType="begin">
                <w:ffData>
                  <w:name w:val="Kontrollkästchen1"/>
                  <w:enabled/>
                  <w:calcOnExit w:val="0"/>
                  <w:checkBox>
                    <w:sizeAuto/>
                    <w:default w:val="0"/>
                  </w:checkBox>
                </w:ffData>
              </w:fldChar>
            </w:r>
            <w:r w:rsidRPr="007F55C3">
              <w:rPr>
                <w:rFonts w:ascii="Arial" w:hAnsi="Arial" w:cs="Arial"/>
                <w:sz w:val="20"/>
                <w:szCs w:val="20"/>
              </w:rPr>
              <w:instrText xml:space="preserve"> FORMCHECKBOX </w:instrText>
            </w:r>
            <w:r w:rsidR="00D46397">
              <w:rPr>
                <w:rFonts w:ascii="Arial" w:hAnsi="Arial" w:cs="Arial"/>
                <w:sz w:val="20"/>
                <w:szCs w:val="20"/>
              </w:rPr>
            </w:r>
            <w:r w:rsidR="00D46397">
              <w:rPr>
                <w:rFonts w:ascii="Arial" w:hAnsi="Arial" w:cs="Arial"/>
                <w:sz w:val="20"/>
                <w:szCs w:val="20"/>
              </w:rPr>
              <w:fldChar w:fldCharType="separate"/>
            </w:r>
            <w:r w:rsidRPr="007F55C3">
              <w:rPr>
                <w:rFonts w:ascii="Arial" w:hAnsi="Arial" w:cs="Arial"/>
                <w:sz w:val="20"/>
                <w:szCs w:val="20"/>
              </w:rPr>
              <w:fldChar w:fldCharType="end"/>
            </w:r>
          </w:p>
        </w:tc>
        <w:tc>
          <w:tcPr>
            <w:tcW w:w="0" w:type="auto"/>
            <w:shd w:val="pct10" w:color="auto" w:fill="auto"/>
            <w:vAlign w:val="center"/>
          </w:tcPr>
          <w:p w:rsidR="006448CC" w:rsidRPr="007F55C3" w:rsidRDefault="006448CC" w:rsidP="00B763FA">
            <w:pPr>
              <w:rPr>
                <w:rFonts w:ascii="Arial" w:hAnsi="Arial" w:cs="Arial"/>
                <w:sz w:val="20"/>
                <w:szCs w:val="20"/>
              </w:rPr>
            </w:pPr>
            <w:r w:rsidRPr="007F55C3">
              <w:rPr>
                <w:rFonts w:ascii="Arial" w:hAnsi="Arial" w:cs="Arial"/>
                <w:sz w:val="20"/>
                <w:szCs w:val="20"/>
              </w:rPr>
              <w:t>Annahme als Arbeitsmaterial zu</w:t>
            </w:r>
          </w:p>
        </w:tc>
        <w:tc>
          <w:tcPr>
            <w:tcW w:w="0" w:type="auto"/>
            <w:vAlign w:val="center"/>
          </w:tcPr>
          <w:p w:rsidR="006448CC" w:rsidRPr="007F55C3" w:rsidRDefault="006448CC" w:rsidP="00B763FA">
            <w:pPr>
              <w:rPr>
                <w:rFonts w:ascii="Arial" w:hAnsi="Arial" w:cs="Arial"/>
                <w:sz w:val="20"/>
                <w:szCs w:val="20"/>
              </w:rPr>
            </w:pPr>
            <w:r w:rsidRPr="007F55C3">
              <w:rPr>
                <w:rFonts w:ascii="Arial" w:hAnsi="Arial" w:cs="Arial"/>
                <w:sz w:val="20"/>
                <w:szCs w:val="20"/>
              </w:rPr>
              <w:fldChar w:fldCharType="begin">
                <w:ffData>
                  <w:name w:val="Kontrollkästchen1"/>
                  <w:enabled/>
                  <w:calcOnExit w:val="0"/>
                  <w:checkBox>
                    <w:sizeAuto/>
                    <w:default w:val="0"/>
                  </w:checkBox>
                </w:ffData>
              </w:fldChar>
            </w:r>
            <w:r w:rsidRPr="007F55C3">
              <w:rPr>
                <w:rFonts w:ascii="Arial" w:hAnsi="Arial" w:cs="Arial"/>
                <w:sz w:val="20"/>
                <w:szCs w:val="20"/>
              </w:rPr>
              <w:instrText xml:space="preserve"> FORMCHECKBOX </w:instrText>
            </w:r>
            <w:r w:rsidR="00D46397">
              <w:rPr>
                <w:rFonts w:ascii="Arial" w:hAnsi="Arial" w:cs="Arial"/>
                <w:sz w:val="20"/>
                <w:szCs w:val="20"/>
              </w:rPr>
            </w:r>
            <w:r w:rsidR="00D46397">
              <w:rPr>
                <w:rFonts w:ascii="Arial" w:hAnsi="Arial" w:cs="Arial"/>
                <w:sz w:val="20"/>
                <w:szCs w:val="20"/>
              </w:rPr>
              <w:fldChar w:fldCharType="separate"/>
            </w:r>
            <w:r w:rsidRPr="007F55C3">
              <w:rPr>
                <w:rFonts w:ascii="Arial" w:hAnsi="Arial" w:cs="Arial"/>
                <w:sz w:val="20"/>
                <w:szCs w:val="20"/>
              </w:rPr>
              <w:fldChar w:fldCharType="end"/>
            </w:r>
          </w:p>
        </w:tc>
        <w:tc>
          <w:tcPr>
            <w:tcW w:w="0" w:type="auto"/>
            <w:shd w:val="pct10" w:color="auto" w:fill="auto"/>
            <w:vAlign w:val="center"/>
          </w:tcPr>
          <w:p w:rsidR="006448CC" w:rsidRPr="007F55C3" w:rsidRDefault="006448CC" w:rsidP="00B763FA">
            <w:pPr>
              <w:rPr>
                <w:rFonts w:ascii="Arial" w:hAnsi="Arial" w:cs="Arial"/>
                <w:sz w:val="20"/>
                <w:szCs w:val="20"/>
              </w:rPr>
            </w:pPr>
            <w:r w:rsidRPr="007F55C3">
              <w:rPr>
                <w:rFonts w:ascii="Arial" w:hAnsi="Arial" w:cs="Arial"/>
                <w:sz w:val="20"/>
                <w:szCs w:val="20"/>
              </w:rPr>
              <w:t>Erledigt durch</w:t>
            </w:r>
          </w:p>
        </w:tc>
        <w:tc>
          <w:tcPr>
            <w:tcW w:w="0" w:type="auto"/>
            <w:vAlign w:val="center"/>
          </w:tcPr>
          <w:p w:rsidR="006448CC" w:rsidRPr="007F55C3" w:rsidRDefault="006448CC" w:rsidP="00B763FA">
            <w:pPr>
              <w:rPr>
                <w:rFonts w:ascii="Arial" w:hAnsi="Arial" w:cs="Arial"/>
                <w:sz w:val="20"/>
                <w:szCs w:val="20"/>
              </w:rPr>
            </w:pPr>
            <w:r w:rsidRPr="007F55C3">
              <w:rPr>
                <w:rFonts w:ascii="Arial" w:hAnsi="Arial" w:cs="Arial"/>
                <w:sz w:val="20"/>
                <w:szCs w:val="20"/>
              </w:rPr>
              <w:fldChar w:fldCharType="begin">
                <w:ffData>
                  <w:name w:val="Kontrollkästchen1"/>
                  <w:enabled/>
                  <w:calcOnExit w:val="0"/>
                  <w:checkBox>
                    <w:sizeAuto/>
                    <w:default w:val="0"/>
                  </w:checkBox>
                </w:ffData>
              </w:fldChar>
            </w:r>
            <w:r w:rsidRPr="007F55C3">
              <w:rPr>
                <w:rFonts w:ascii="Arial" w:hAnsi="Arial" w:cs="Arial"/>
                <w:sz w:val="20"/>
                <w:szCs w:val="20"/>
              </w:rPr>
              <w:instrText xml:space="preserve"> FORMCHECKBOX </w:instrText>
            </w:r>
            <w:r w:rsidR="00D46397">
              <w:rPr>
                <w:rFonts w:ascii="Arial" w:hAnsi="Arial" w:cs="Arial"/>
                <w:sz w:val="20"/>
                <w:szCs w:val="20"/>
              </w:rPr>
            </w:r>
            <w:r w:rsidR="00D46397">
              <w:rPr>
                <w:rFonts w:ascii="Arial" w:hAnsi="Arial" w:cs="Arial"/>
                <w:sz w:val="20"/>
                <w:szCs w:val="20"/>
              </w:rPr>
              <w:fldChar w:fldCharType="separate"/>
            </w:r>
            <w:r w:rsidRPr="007F55C3">
              <w:rPr>
                <w:rFonts w:ascii="Arial" w:hAnsi="Arial" w:cs="Arial"/>
                <w:sz w:val="20"/>
                <w:szCs w:val="20"/>
              </w:rPr>
              <w:fldChar w:fldCharType="end"/>
            </w:r>
          </w:p>
        </w:tc>
        <w:tc>
          <w:tcPr>
            <w:tcW w:w="0" w:type="auto"/>
            <w:shd w:val="pct10" w:color="auto" w:fill="auto"/>
            <w:vAlign w:val="center"/>
          </w:tcPr>
          <w:p w:rsidR="006448CC" w:rsidRPr="007F55C3" w:rsidRDefault="006448CC" w:rsidP="00B763FA">
            <w:pPr>
              <w:rPr>
                <w:rFonts w:ascii="Arial" w:hAnsi="Arial" w:cs="Arial"/>
                <w:sz w:val="20"/>
                <w:szCs w:val="20"/>
              </w:rPr>
            </w:pPr>
            <w:r w:rsidRPr="007F55C3">
              <w:rPr>
                <w:rFonts w:ascii="Arial" w:hAnsi="Arial" w:cs="Arial"/>
                <w:sz w:val="20"/>
                <w:szCs w:val="20"/>
              </w:rPr>
              <w:t>Nichtbefassung</w:t>
            </w:r>
          </w:p>
        </w:tc>
      </w:tr>
      <w:tr w:rsidR="006448CC" w:rsidRPr="008E3847">
        <w:tc>
          <w:tcPr>
            <w:tcW w:w="0" w:type="auto"/>
            <w:vAlign w:val="center"/>
          </w:tcPr>
          <w:p w:rsidR="006448CC" w:rsidRPr="007F55C3" w:rsidRDefault="006448CC" w:rsidP="00B763FA">
            <w:pPr>
              <w:rPr>
                <w:rFonts w:ascii="Arial" w:hAnsi="Arial" w:cs="Arial"/>
                <w:sz w:val="20"/>
                <w:szCs w:val="20"/>
              </w:rPr>
            </w:pPr>
            <w:r w:rsidRPr="007F55C3">
              <w:rPr>
                <w:rFonts w:ascii="Arial" w:hAnsi="Arial" w:cs="Arial"/>
                <w:sz w:val="20"/>
                <w:szCs w:val="20"/>
              </w:rPr>
              <w:fldChar w:fldCharType="begin">
                <w:ffData>
                  <w:name w:val="Kontrollkästchen1"/>
                  <w:enabled/>
                  <w:calcOnExit w:val="0"/>
                  <w:checkBox>
                    <w:sizeAuto/>
                    <w:default w:val="0"/>
                  </w:checkBox>
                </w:ffData>
              </w:fldChar>
            </w:r>
            <w:r w:rsidRPr="007F55C3">
              <w:rPr>
                <w:rFonts w:ascii="Arial" w:hAnsi="Arial" w:cs="Arial"/>
                <w:sz w:val="20"/>
                <w:szCs w:val="20"/>
              </w:rPr>
              <w:instrText xml:space="preserve"> FORMCHECKBOX </w:instrText>
            </w:r>
            <w:r w:rsidR="00D46397">
              <w:rPr>
                <w:rFonts w:ascii="Arial" w:hAnsi="Arial" w:cs="Arial"/>
                <w:sz w:val="20"/>
                <w:szCs w:val="20"/>
              </w:rPr>
            </w:r>
            <w:r w:rsidR="00D46397">
              <w:rPr>
                <w:rFonts w:ascii="Arial" w:hAnsi="Arial" w:cs="Arial"/>
                <w:sz w:val="20"/>
                <w:szCs w:val="20"/>
              </w:rPr>
              <w:fldChar w:fldCharType="separate"/>
            </w:r>
            <w:r w:rsidRPr="007F55C3">
              <w:rPr>
                <w:rFonts w:ascii="Arial" w:hAnsi="Arial" w:cs="Arial"/>
                <w:sz w:val="20"/>
                <w:szCs w:val="20"/>
              </w:rPr>
              <w:fldChar w:fldCharType="end"/>
            </w:r>
          </w:p>
        </w:tc>
        <w:tc>
          <w:tcPr>
            <w:tcW w:w="0" w:type="auto"/>
            <w:shd w:val="pct10" w:color="auto" w:fill="auto"/>
            <w:vAlign w:val="center"/>
          </w:tcPr>
          <w:p w:rsidR="006448CC" w:rsidRPr="007F55C3" w:rsidRDefault="006448CC" w:rsidP="00B763FA">
            <w:pPr>
              <w:rPr>
                <w:rFonts w:ascii="Arial" w:hAnsi="Arial" w:cs="Arial"/>
                <w:sz w:val="20"/>
                <w:szCs w:val="20"/>
              </w:rPr>
            </w:pPr>
            <w:r w:rsidRPr="007F55C3">
              <w:rPr>
                <w:rFonts w:ascii="Arial" w:hAnsi="Arial" w:cs="Arial"/>
                <w:sz w:val="20"/>
                <w:szCs w:val="20"/>
              </w:rPr>
              <w:t>Annahme mit Änderung</w:t>
            </w:r>
          </w:p>
        </w:tc>
        <w:tc>
          <w:tcPr>
            <w:tcW w:w="0" w:type="auto"/>
            <w:vAlign w:val="center"/>
          </w:tcPr>
          <w:p w:rsidR="006448CC" w:rsidRPr="007F55C3" w:rsidRDefault="006448CC" w:rsidP="00B763FA">
            <w:pPr>
              <w:rPr>
                <w:rFonts w:ascii="Arial" w:hAnsi="Arial" w:cs="Arial"/>
                <w:sz w:val="20"/>
                <w:szCs w:val="20"/>
              </w:rPr>
            </w:pPr>
            <w:r w:rsidRPr="007F55C3">
              <w:rPr>
                <w:rFonts w:ascii="Arial" w:hAnsi="Arial" w:cs="Arial"/>
                <w:sz w:val="20"/>
                <w:szCs w:val="20"/>
              </w:rPr>
              <w:fldChar w:fldCharType="begin">
                <w:ffData>
                  <w:name w:val="Kontrollkästchen1"/>
                  <w:enabled/>
                  <w:calcOnExit w:val="0"/>
                  <w:checkBox>
                    <w:sizeAuto/>
                    <w:default w:val="0"/>
                  </w:checkBox>
                </w:ffData>
              </w:fldChar>
            </w:r>
            <w:r w:rsidRPr="007F55C3">
              <w:rPr>
                <w:rFonts w:ascii="Arial" w:hAnsi="Arial" w:cs="Arial"/>
                <w:sz w:val="20"/>
                <w:szCs w:val="20"/>
              </w:rPr>
              <w:instrText xml:space="preserve"> FORMCHECKBOX </w:instrText>
            </w:r>
            <w:r w:rsidR="00D46397">
              <w:rPr>
                <w:rFonts w:ascii="Arial" w:hAnsi="Arial" w:cs="Arial"/>
                <w:sz w:val="20"/>
                <w:szCs w:val="20"/>
              </w:rPr>
            </w:r>
            <w:r w:rsidR="00D46397">
              <w:rPr>
                <w:rFonts w:ascii="Arial" w:hAnsi="Arial" w:cs="Arial"/>
                <w:sz w:val="20"/>
                <w:szCs w:val="20"/>
              </w:rPr>
              <w:fldChar w:fldCharType="separate"/>
            </w:r>
            <w:r w:rsidRPr="007F55C3">
              <w:rPr>
                <w:rFonts w:ascii="Arial" w:hAnsi="Arial" w:cs="Arial"/>
                <w:sz w:val="20"/>
                <w:szCs w:val="20"/>
              </w:rPr>
              <w:fldChar w:fldCharType="end"/>
            </w:r>
          </w:p>
        </w:tc>
        <w:tc>
          <w:tcPr>
            <w:tcW w:w="0" w:type="auto"/>
            <w:shd w:val="pct10" w:color="auto" w:fill="auto"/>
            <w:vAlign w:val="center"/>
          </w:tcPr>
          <w:p w:rsidR="006448CC" w:rsidRPr="007F55C3" w:rsidRDefault="006448CC" w:rsidP="00B763FA">
            <w:pPr>
              <w:rPr>
                <w:rFonts w:ascii="Arial" w:hAnsi="Arial" w:cs="Arial"/>
                <w:sz w:val="20"/>
                <w:szCs w:val="20"/>
              </w:rPr>
            </w:pPr>
            <w:r w:rsidRPr="007F55C3">
              <w:rPr>
                <w:rFonts w:ascii="Arial" w:hAnsi="Arial" w:cs="Arial"/>
                <w:sz w:val="20"/>
                <w:szCs w:val="20"/>
              </w:rPr>
              <w:t>Annahme als Arbeitsmaterial</w:t>
            </w:r>
          </w:p>
        </w:tc>
        <w:tc>
          <w:tcPr>
            <w:tcW w:w="0" w:type="auto"/>
            <w:vAlign w:val="center"/>
          </w:tcPr>
          <w:p w:rsidR="006448CC" w:rsidRPr="007F55C3" w:rsidRDefault="006448CC" w:rsidP="00B763FA">
            <w:pPr>
              <w:rPr>
                <w:rFonts w:ascii="Arial" w:hAnsi="Arial" w:cs="Arial"/>
                <w:sz w:val="20"/>
                <w:szCs w:val="20"/>
              </w:rPr>
            </w:pPr>
            <w:r w:rsidRPr="007F55C3">
              <w:rPr>
                <w:rFonts w:ascii="Arial" w:hAnsi="Arial" w:cs="Arial"/>
                <w:sz w:val="20"/>
                <w:szCs w:val="20"/>
              </w:rPr>
              <w:fldChar w:fldCharType="begin">
                <w:ffData>
                  <w:name w:val="Kontrollkästchen1"/>
                  <w:enabled/>
                  <w:calcOnExit w:val="0"/>
                  <w:checkBox>
                    <w:sizeAuto/>
                    <w:default w:val="0"/>
                  </w:checkBox>
                </w:ffData>
              </w:fldChar>
            </w:r>
            <w:r w:rsidRPr="007F55C3">
              <w:rPr>
                <w:rFonts w:ascii="Arial" w:hAnsi="Arial" w:cs="Arial"/>
                <w:sz w:val="20"/>
                <w:szCs w:val="20"/>
              </w:rPr>
              <w:instrText xml:space="preserve"> FORMCHECKBOX </w:instrText>
            </w:r>
            <w:r w:rsidR="00D46397">
              <w:rPr>
                <w:rFonts w:ascii="Arial" w:hAnsi="Arial" w:cs="Arial"/>
                <w:sz w:val="20"/>
                <w:szCs w:val="20"/>
              </w:rPr>
            </w:r>
            <w:r w:rsidR="00D46397">
              <w:rPr>
                <w:rFonts w:ascii="Arial" w:hAnsi="Arial" w:cs="Arial"/>
                <w:sz w:val="20"/>
                <w:szCs w:val="20"/>
              </w:rPr>
              <w:fldChar w:fldCharType="separate"/>
            </w:r>
            <w:r w:rsidRPr="007F55C3">
              <w:rPr>
                <w:rFonts w:ascii="Arial" w:hAnsi="Arial" w:cs="Arial"/>
                <w:sz w:val="20"/>
                <w:szCs w:val="20"/>
              </w:rPr>
              <w:fldChar w:fldCharType="end"/>
            </w:r>
          </w:p>
        </w:tc>
        <w:tc>
          <w:tcPr>
            <w:tcW w:w="0" w:type="auto"/>
            <w:shd w:val="pct10" w:color="auto" w:fill="auto"/>
            <w:vAlign w:val="center"/>
          </w:tcPr>
          <w:p w:rsidR="006448CC" w:rsidRPr="007F55C3" w:rsidRDefault="006448CC" w:rsidP="00B763FA">
            <w:pPr>
              <w:rPr>
                <w:rFonts w:ascii="Arial" w:hAnsi="Arial" w:cs="Arial"/>
                <w:sz w:val="20"/>
                <w:szCs w:val="20"/>
              </w:rPr>
            </w:pPr>
            <w:r w:rsidRPr="007F55C3">
              <w:rPr>
                <w:rFonts w:ascii="Arial" w:hAnsi="Arial" w:cs="Arial"/>
                <w:sz w:val="20"/>
                <w:szCs w:val="20"/>
              </w:rPr>
              <w:t>Nichtbehandlung</w:t>
            </w:r>
          </w:p>
        </w:tc>
        <w:tc>
          <w:tcPr>
            <w:tcW w:w="0" w:type="auto"/>
            <w:vAlign w:val="center"/>
          </w:tcPr>
          <w:p w:rsidR="006448CC" w:rsidRPr="007F55C3" w:rsidRDefault="006448CC" w:rsidP="00B763FA">
            <w:pPr>
              <w:rPr>
                <w:rFonts w:ascii="Arial" w:hAnsi="Arial" w:cs="Arial"/>
                <w:sz w:val="20"/>
                <w:szCs w:val="20"/>
              </w:rPr>
            </w:pPr>
            <w:r w:rsidRPr="007F55C3">
              <w:rPr>
                <w:rFonts w:ascii="Arial" w:hAnsi="Arial" w:cs="Arial"/>
                <w:sz w:val="20"/>
                <w:szCs w:val="20"/>
              </w:rPr>
              <w:fldChar w:fldCharType="begin">
                <w:ffData>
                  <w:name w:val="Kontrollkästchen1"/>
                  <w:enabled/>
                  <w:calcOnExit w:val="0"/>
                  <w:checkBox>
                    <w:sizeAuto/>
                    <w:default w:val="0"/>
                  </w:checkBox>
                </w:ffData>
              </w:fldChar>
            </w:r>
            <w:r w:rsidRPr="007F55C3">
              <w:rPr>
                <w:rFonts w:ascii="Arial" w:hAnsi="Arial" w:cs="Arial"/>
                <w:sz w:val="20"/>
                <w:szCs w:val="20"/>
              </w:rPr>
              <w:instrText xml:space="preserve"> FORMCHECKBOX </w:instrText>
            </w:r>
            <w:r w:rsidR="00D46397">
              <w:rPr>
                <w:rFonts w:ascii="Arial" w:hAnsi="Arial" w:cs="Arial"/>
                <w:sz w:val="20"/>
                <w:szCs w:val="20"/>
              </w:rPr>
            </w:r>
            <w:r w:rsidR="00D46397">
              <w:rPr>
                <w:rFonts w:ascii="Arial" w:hAnsi="Arial" w:cs="Arial"/>
                <w:sz w:val="20"/>
                <w:szCs w:val="20"/>
              </w:rPr>
              <w:fldChar w:fldCharType="separate"/>
            </w:r>
            <w:r w:rsidRPr="007F55C3">
              <w:rPr>
                <w:rFonts w:ascii="Arial" w:hAnsi="Arial" w:cs="Arial"/>
                <w:sz w:val="20"/>
                <w:szCs w:val="20"/>
              </w:rPr>
              <w:fldChar w:fldCharType="end"/>
            </w:r>
          </w:p>
        </w:tc>
        <w:tc>
          <w:tcPr>
            <w:tcW w:w="0" w:type="auto"/>
            <w:shd w:val="pct10" w:color="auto" w:fill="auto"/>
            <w:vAlign w:val="center"/>
          </w:tcPr>
          <w:p w:rsidR="006448CC" w:rsidRPr="007F55C3" w:rsidRDefault="006448CC" w:rsidP="00B763FA">
            <w:pPr>
              <w:rPr>
                <w:rFonts w:ascii="Arial" w:hAnsi="Arial" w:cs="Arial"/>
                <w:sz w:val="20"/>
                <w:szCs w:val="20"/>
              </w:rPr>
            </w:pPr>
            <w:r w:rsidRPr="007F55C3">
              <w:rPr>
                <w:rFonts w:ascii="Arial" w:hAnsi="Arial" w:cs="Arial"/>
                <w:sz w:val="20"/>
                <w:szCs w:val="20"/>
              </w:rPr>
              <w:t>Ablehnung</w:t>
            </w:r>
          </w:p>
        </w:tc>
      </w:tr>
    </w:tbl>
    <w:p w:rsidR="006448CC" w:rsidRDefault="006448CC" w:rsidP="003859BE"/>
    <w:sectPr w:rsidR="006448CC" w:rsidSect="00B67A4A">
      <w:type w:val="continuous"/>
      <w:pgSz w:w="11906" w:h="16838" w:code="9"/>
      <w:pgMar w:top="782" w:right="851" w:bottom="1134" w:left="1985" w:header="28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397" w:rsidRDefault="00D46397">
      <w:r>
        <w:separator/>
      </w:r>
    </w:p>
  </w:endnote>
  <w:endnote w:type="continuationSeparator" w:id="0">
    <w:p w:rsidR="00D46397" w:rsidRDefault="00D46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397" w:rsidRDefault="00D46397">
      <w:r>
        <w:separator/>
      </w:r>
    </w:p>
  </w:footnote>
  <w:footnote w:type="continuationSeparator" w:id="0">
    <w:p w:rsidR="00D46397" w:rsidRDefault="00D46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6448CC">
      <w:tc>
        <w:tcPr>
          <w:tcW w:w="9210" w:type="dxa"/>
          <w:tcBorders>
            <w:top w:val="nil"/>
            <w:left w:val="nil"/>
            <w:bottom w:val="single" w:sz="6" w:space="0" w:color="auto"/>
            <w:right w:val="nil"/>
          </w:tcBorders>
        </w:tcPr>
        <w:p w:rsidR="006448CC" w:rsidRDefault="006448CC">
          <w:pPr>
            <w:pStyle w:val="Kopfzeile"/>
            <w:jc w:val="right"/>
            <w:rPr>
              <w:rFonts w:ascii="Arial" w:hAnsi="Arial" w:cs="Arial"/>
              <w:b/>
              <w:bCs/>
              <w:sz w:val="20"/>
              <w:szCs w:val="20"/>
            </w:rPr>
          </w:pPr>
          <w:r>
            <w:rPr>
              <w:rFonts w:ascii="Arial" w:hAnsi="Arial" w:cs="Arial"/>
              <w:b/>
              <w:bCs/>
              <w:sz w:val="20"/>
              <w:szCs w:val="20"/>
            </w:rPr>
            <w:t xml:space="preserve">Seite </w:t>
          </w:r>
          <w:r>
            <w:rPr>
              <w:rFonts w:ascii="Arial" w:hAnsi="Arial" w:cs="Arial"/>
              <w:b/>
              <w:bCs/>
              <w:sz w:val="20"/>
              <w:szCs w:val="20"/>
            </w:rPr>
            <w:fldChar w:fldCharType="begin"/>
          </w:r>
          <w:r>
            <w:rPr>
              <w:rFonts w:ascii="Arial" w:hAnsi="Arial" w:cs="Arial"/>
              <w:b/>
              <w:bCs/>
              <w:sz w:val="20"/>
              <w:szCs w:val="20"/>
            </w:rPr>
            <w:instrText xml:space="preserve"> PAGE  \* MERGEFORMAT </w:instrText>
          </w:r>
          <w:r>
            <w:rPr>
              <w:rFonts w:ascii="Arial" w:hAnsi="Arial" w:cs="Arial"/>
              <w:b/>
              <w:bCs/>
              <w:sz w:val="20"/>
              <w:szCs w:val="20"/>
            </w:rPr>
            <w:fldChar w:fldCharType="separate"/>
          </w:r>
          <w:r w:rsidR="00253FDC">
            <w:rPr>
              <w:rFonts w:ascii="Arial" w:hAnsi="Arial" w:cs="Arial"/>
              <w:b/>
              <w:bCs/>
              <w:noProof/>
              <w:sz w:val="20"/>
              <w:szCs w:val="20"/>
            </w:rPr>
            <w:t>2</w:t>
          </w:r>
          <w:r>
            <w:rPr>
              <w:rFonts w:ascii="Arial" w:hAnsi="Arial" w:cs="Arial"/>
              <w:b/>
              <w:bCs/>
              <w:sz w:val="20"/>
              <w:szCs w:val="20"/>
            </w:rPr>
            <w:fldChar w:fldCharType="end"/>
          </w:r>
        </w:p>
      </w:tc>
    </w:tr>
  </w:tbl>
  <w:p w:rsidR="006448CC" w:rsidRDefault="006448CC">
    <w:pPr>
      <w:pStyle w:val="Kopfzeile"/>
      <w:rPr>
        <w:rFonts w:ascii="Arial" w:hAnsi="Arial" w:cs="Arial"/>
        <w:b/>
        <w:bCs/>
        <w:sz w:val="20"/>
        <w:szCs w:val="20"/>
      </w:rPr>
    </w:pPr>
  </w:p>
  <w:p w:rsidR="006448CC" w:rsidRDefault="006448CC">
    <w:pPr>
      <w:pStyle w:val="Kopfzeile"/>
      <w:jc w:val="right"/>
      <w:rPr>
        <w:rFonts w:ascii="Arial" w:hAnsi="Arial" w:cs="Arial"/>
        <w:b/>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FE644B"/>
    <w:multiLevelType w:val="hybridMultilevel"/>
    <w:tmpl w:val="3364D62C"/>
    <w:lvl w:ilvl="0" w:tplc="CD1E6C6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autoHyphenation/>
  <w:hyphenationZone w:val="142"/>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37A"/>
    <w:rsid w:val="00033D97"/>
    <w:rsid w:val="00044F9C"/>
    <w:rsid w:val="00084ED8"/>
    <w:rsid w:val="000B154D"/>
    <w:rsid w:val="00124049"/>
    <w:rsid w:val="00150511"/>
    <w:rsid w:val="00153E3E"/>
    <w:rsid w:val="00190C95"/>
    <w:rsid w:val="00191C9A"/>
    <w:rsid w:val="001927A1"/>
    <w:rsid w:val="001B17BB"/>
    <w:rsid w:val="001C035F"/>
    <w:rsid w:val="001C341C"/>
    <w:rsid w:val="001D2611"/>
    <w:rsid w:val="00205043"/>
    <w:rsid w:val="002119C3"/>
    <w:rsid w:val="0021652F"/>
    <w:rsid w:val="00253460"/>
    <w:rsid w:val="00253FDC"/>
    <w:rsid w:val="00260C52"/>
    <w:rsid w:val="0026732C"/>
    <w:rsid w:val="0028018C"/>
    <w:rsid w:val="002A07AA"/>
    <w:rsid w:val="002B2525"/>
    <w:rsid w:val="002B4F6D"/>
    <w:rsid w:val="002D4E3E"/>
    <w:rsid w:val="002D67E1"/>
    <w:rsid w:val="002E1183"/>
    <w:rsid w:val="002F6BCD"/>
    <w:rsid w:val="00302445"/>
    <w:rsid w:val="0031650D"/>
    <w:rsid w:val="003279FF"/>
    <w:rsid w:val="003749DD"/>
    <w:rsid w:val="00385853"/>
    <w:rsid w:val="003859BE"/>
    <w:rsid w:val="003A094E"/>
    <w:rsid w:val="003B5617"/>
    <w:rsid w:val="00427621"/>
    <w:rsid w:val="0043241B"/>
    <w:rsid w:val="00464F58"/>
    <w:rsid w:val="00500229"/>
    <w:rsid w:val="005127E5"/>
    <w:rsid w:val="00523D10"/>
    <w:rsid w:val="0053044B"/>
    <w:rsid w:val="0054650E"/>
    <w:rsid w:val="0055071C"/>
    <w:rsid w:val="0056697E"/>
    <w:rsid w:val="00573483"/>
    <w:rsid w:val="00574B16"/>
    <w:rsid w:val="005B48CA"/>
    <w:rsid w:val="005F0CE6"/>
    <w:rsid w:val="00606147"/>
    <w:rsid w:val="006235EC"/>
    <w:rsid w:val="006448CC"/>
    <w:rsid w:val="00686F32"/>
    <w:rsid w:val="00693BA1"/>
    <w:rsid w:val="006963A6"/>
    <w:rsid w:val="006C7BAF"/>
    <w:rsid w:val="006D3F7C"/>
    <w:rsid w:val="00701FEE"/>
    <w:rsid w:val="007341CE"/>
    <w:rsid w:val="00756223"/>
    <w:rsid w:val="0076321E"/>
    <w:rsid w:val="00763536"/>
    <w:rsid w:val="00782588"/>
    <w:rsid w:val="007A6BCE"/>
    <w:rsid w:val="007D46AC"/>
    <w:rsid w:val="007D48D4"/>
    <w:rsid w:val="007D60E3"/>
    <w:rsid w:val="007D617D"/>
    <w:rsid w:val="007F1D77"/>
    <w:rsid w:val="007F55C3"/>
    <w:rsid w:val="00804EE5"/>
    <w:rsid w:val="00813DA4"/>
    <w:rsid w:val="0082001B"/>
    <w:rsid w:val="00827AAE"/>
    <w:rsid w:val="00851728"/>
    <w:rsid w:val="008956DA"/>
    <w:rsid w:val="008A4996"/>
    <w:rsid w:val="008D3099"/>
    <w:rsid w:val="008D72A5"/>
    <w:rsid w:val="008E3847"/>
    <w:rsid w:val="0093051B"/>
    <w:rsid w:val="00956E31"/>
    <w:rsid w:val="009779FC"/>
    <w:rsid w:val="00994ABD"/>
    <w:rsid w:val="009B0296"/>
    <w:rsid w:val="009B4D81"/>
    <w:rsid w:val="009E6CBB"/>
    <w:rsid w:val="00A22BCA"/>
    <w:rsid w:val="00A357DF"/>
    <w:rsid w:val="00A54C5B"/>
    <w:rsid w:val="00A71566"/>
    <w:rsid w:val="00A84FE8"/>
    <w:rsid w:val="00A94200"/>
    <w:rsid w:val="00AC1DCF"/>
    <w:rsid w:val="00AD6CF4"/>
    <w:rsid w:val="00AE167C"/>
    <w:rsid w:val="00B256EB"/>
    <w:rsid w:val="00B36122"/>
    <w:rsid w:val="00B50F3E"/>
    <w:rsid w:val="00B53F2F"/>
    <w:rsid w:val="00B67A4A"/>
    <w:rsid w:val="00B763FA"/>
    <w:rsid w:val="00B76CF0"/>
    <w:rsid w:val="00BA2129"/>
    <w:rsid w:val="00BC294E"/>
    <w:rsid w:val="00BC3AB2"/>
    <w:rsid w:val="00BD1D4C"/>
    <w:rsid w:val="00BD2808"/>
    <w:rsid w:val="00BE6692"/>
    <w:rsid w:val="00C05078"/>
    <w:rsid w:val="00C162F1"/>
    <w:rsid w:val="00C3198A"/>
    <w:rsid w:val="00C57897"/>
    <w:rsid w:val="00CB6A63"/>
    <w:rsid w:val="00CF3E13"/>
    <w:rsid w:val="00D46397"/>
    <w:rsid w:val="00D5639A"/>
    <w:rsid w:val="00D66357"/>
    <w:rsid w:val="00D8047B"/>
    <w:rsid w:val="00DA4881"/>
    <w:rsid w:val="00DB5229"/>
    <w:rsid w:val="00DC4262"/>
    <w:rsid w:val="00DE069D"/>
    <w:rsid w:val="00DE537A"/>
    <w:rsid w:val="00EC6479"/>
    <w:rsid w:val="00EC78D6"/>
    <w:rsid w:val="00ED0462"/>
    <w:rsid w:val="00EF0E72"/>
    <w:rsid w:val="00F17409"/>
    <w:rsid w:val="00F22F92"/>
    <w:rsid w:val="00F31792"/>
    <w:rsid w:val="00F34B3A"/>
    <w:rsid w:val="00FA5B2E"/>
    <w:rsid w:val="00FB41F5"/>
    <w:rsid w:val="00FC0CC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7E3CD24-9F71-4F70-9B09-B816D0C2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D4E3E"/>
    <w:rPr>
      <w:sz w:val="24"/>
      <w:szCs w:val="24"/>
    </w:rPr>
  </w:style>
  <w:style w:type="paragraph" w:styleId="berschrift1">
    <w:name w:val="heading 1"/>
    <w:basedOn w:val="Standard"/>
    <w:next w:val="Standard"/>
    <w:link w:val="berschrift1Zchn"/>
    <w:uiPriority w:val="99"/>
    <w:qFormat/>
    <w:rsid w:val="002D4E3E"/>
    <w:pPr>
      <w:keepNext/>
      <w:outlineLvl w:val="0"/>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E6692"/>
    <w:rPr>
      <w:rFonts w:ascii="Cambria" w:hAnsi="Cambria" w:cs="Cambria"/>
      <w:b/>
      <w:bCs/>
      <w:kern w:val="32"/>
      <w:sz w:val="32"/>
      <w:szCs w:val="32"/>
    </w:rPr>
  </w:style>
  <w:style w:type="paragraph" w:styleId="Kopfzeile">
    <w:name w:val="header"/>
    <w:basedOn w:val="Standard"/>
    <w:link w:val="KopfzeileZchn"/>
    <w:uiPriority w:val="99"/>
    <w:rsid w:val="002D4E3E"/>
    <w:pPr>
      <w:tabs>
        <w:tab w:val="center" w:pos="4536"/>
        <w:tab w:val="right" w:pos="9072"/>
      </w:tabs>
    </w:pPr>
  </w:style>
  <w:style w:type="character" w:customStyle="1" w:styleId="KopfzeileZchn">
    <w:name w:val="Kopfzeile Zchn"/>
    <w:basedOn w:val="Absatz-Standardschriftart"/>
    <w:link w:val="Kopfzeile"/>
    <w:uiPriority w:val="99"/>
    <w:semiHidden/>
    <w:locked/>
    <w:rsid w:val="00BE6692"/>
    <w:rPr>
      <w:sz w:val="24"/>
      <w:szCs w:val="24"/>
    </w:rPr>
  </w:style>
  <w:style w:type="paragraph" w:styleId="Fuzeile">
    <w:name w:val="footer"/>
    <w:basedOn w:val="Standard"/>
    <w:link w:val="FuzeileZchn"/>
    <w:uiPriority w:val="99"/>
    <w:rsid w:val="002D4E3E"/>
    <w:pPr>
      <w:tabs>
        <w:tab w:val="center" w:pos="4536"/>
        <w:tab w:val="right" w:pos="9072"/>
      </w:tabs>
    </w:pPr>
  </w:style>
  <w:style w:type="character" w:customStyle="1" w:styleId="FuzeileZchn">
    <w:name w:val="Fußzeile Zchn"/>
    <w:basedOn w:val="Absatz-Standardschriftart"/>
    <w:link w:val="Fuzeile"/>
    <w:uiPriority w:val="99"/>
    <w:semiHidden/>
    <w:locked/>
    <w:rsid w:val="00BE6692"/>
    <w:rPr>
      <w:sz w:val="24"/>
      <w:szCs w:val="24"/>
    </w:rPr>
  </w:style>
  <w:style w:type="paragraph" w:styleId="Sprechblasentext">
    <w:name w:val="Balloon Text"/>
    <w:basedOn w:val="Standard"/>
    <w:link w:val="SprechblasentextZchn"/>
    <w:uiPriority w:val="99"/>
    <w:semiHidden/>
    <w:rsid w:val="007D48D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BE6692"/>
    <w:rPr>
      <w:sz w:val="2"/>
      <w:szCs w:val="2"/>
    </w:rPr>
  </w:style>
  <w:style w:type="table" w:styleId="Tabellenraster">
    <w:name w:val="Table Grid"/>
    <w:basedOn w:val="NormaleTabelle"/>
    <w:uiPriority w:val="99"/>
    <w:rsid w:val="007F55C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2F6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1371F-4382-412D-8894-E7FF3D04B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3382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Antragsformular für Bundesfrauenkonferenz</vt:lpstr>
    </vt:vector>
  </TitlesOfParts>
  <Company>GdP</Company>
  <LinksUpToDate>false</LinksUpToDate>
  <CharactersWithSpaces>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Antragsformular für Bundesfrauenkonferenz</dc:title>
  <dc:creator>Ruth Brunner</dc:creator>
  <cp:lastModifiedBy>admin</cp:lastModifiedBy>
  <cp:revision>4</cp:revision>
  <cp:lastPrinted>2018-02-16T08:59:00Z</cp:lastPrinted>
  <dcterms:created xsi:type="dcterms:W3CDTF">2018-02-16T08:59:00Z</dcterms:created>
  <dcterms:modified xsi:type="dcterms:W3CDTF">2018-03-09T12:39:00Z</dcterms:modified>
</cp:coreProperties>
</file>